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8F21A" w14:textId="77777777" w:rsidR="00324145" w:rsidRPr="008267E2" w:rsidRDefault="00324145" w:rsidP="002F6260">
      <w:pPr>
        <w:spacing w:line="360" w:lineRule="auto"/>
        <w:ind w:left="142" w:hanging="142"/>
        <w:jc w:val="both"/>
        <w:rPr>
          <w:rFonts w:eastAsia="Arial"/>
          <w:b/>
          <w:sz w:val="24"/>
          <w:szCs w:val="24"/>
        </w:rPr>
      </w:pPr>
    </w:p>
    <w:p w14:paraId="57ACA011" w14:textId="77777777" w:rsidR="00204592" w:rsidRPr="008267E2" w:rsidRDefault="00E0311A" w:rsidP="002F6260">
      <w:pPr>
        <w:spacing w:line="360" w:lineRule="auto"/>
        <w:jc w:val="both"/>
        <w:rPr>
          <w:rFonts w:eastAsia="Arial"/>
          <w:b/>
          <w:sz w:val="40"/>
          <w:szCs w:val="24"/>
        </w:rPr>
      </w:pPr>
      <w:r w:rsidRPr="008267E2">
        <w:rPr>
          <w:rFonts w:eastAsia="Arial"/>
          <w:b/>
          <w:sz w:val="40"/>
          <w:szCs w:val="24"/>
        </w:rPr>
        <w:t>Forensic Science Inquiry</w:t>
      </w:r>
      <w:r w:rsidR="00FE5707" w:rsidRPr="008267E2">
        <w:rPr>
          <w:rFonts w:eastAsia="Arial"/>
          <w:b/>
          <w:sz w:val="40"/>
          <w:szCs w:val="24"/>
        </w:rPr>
        <w:t xml:space="preserve">: </w:t>
      </w:r>
      <w:r w:rsidRPr="008267E2">
        <w:rPr>
          <w:rFonts w:eastAsia="Arial"/>
          <w:b/>
          <w:sz w:val="40"/>
          <w:szCs w:val="24"/>
        </w:rPr>
        <w:t>Lords Science and Technology</w:t>
      </w:r>
      <w:r w:rsidR="008267E2">
        <w:rPr>
          <w:rFonts w:eastAsia="Arial"/>
          <w:b/>
          <w:sz w:val="40"/>
          <w:szCs w:val="24"/>
        </w:rPr>
        <w:t xml:space="preserve"> </w:t>
      </w:r>
      <w:r w:rsidR="00FE5707" w:rsidRPr="008267E2">
        <w:rPr>
          <w:rFonts w:eastAsia="Arial"/>
          <w:b/>
          <w:sz w:val="40"/>
          <w:szCs w:val="24"/>
        </w:rPr>
        <w:t xml:space="preserve">Committee </w:t>
      </w:r>
      <w:r w:rsidR="00740DDE" w:rsidRPr="008267E2">
        <w:rPr>
          <w:rFonts w:eastAsia="Arial"/>
          <w:b/>
          <w:sz w:val="40"/>
          <w:szCs w:val="24"/>
        </w:rPr>
        <w:t xml:space="preserve"> </w:t>
      </w:r>
    </w:p>
    <w:p w14:paraId="1485971A" w14:textId="77777777" w:rsidR="00204592" w:rsidRPr="008267E2" w:rsidRDefault="00E0311A" w:rsidP="002F6260">
      <w:pPr>
        <w:spacing w:line="360" w:lineRule="auto"/>
        <w:ind w:left="142" w:hanging="142"/>
        <w:jc w:val="both"/>
        <w:rPr>
          <w:rFonts w:eastAsia="Arial"/>
          <w:b/>
          <w:sz w:val="32"/>
          <w:szCs w:val="24"/>
        </w:rPr>
      </w:pPr>
      <w:r w:rsidRPr="008267E2">
        <w:rPr>
          <w:rFonts w:eastAsia="Arial"/>
          <w:b/>
          <w:sz w:val="32"/>
          <w:szCs w:val="24"/>
        </w:rPr>
        <w:t>September</w:t>
      </w:r>
      <w:r w:rsidR="00740DDE" w:rsidRPr="008267E2">
        <w:rPr>
          <w:rFonts w:eastAsia="Arial"/>
          <w:b/>
          <w:sz w:val="32"/>
          <w:szCs w:val="24"/>
        </w:rPr>
        <w:t xml:space="preserve"> 2018</w:t>
      </w:r>
    </w:p>
    <w:p w14:paraId="64027BA3" w14:textId="77777777" w:rsidR="00204592" w:rsidRPr="008267E2" w:rsidRDefault="00740DDE" w:rsidP="002F6260">
      <w:pPr>
        <w:spacing w:after="0" w:line="360" w:lineRule="auto"/>
        <w:ind w:left="142" w:hanging="142"/>
        <w:jc w:val="both"/>
        <w:rPr>
          <w:rFonts w:eastAsia="Arial"/>
          <w:b/>
          <w:sz w:val="24"/>
          <w:szCs w:val="24"/>
        </w:rPr>
      </w:pPr>
      <w:r w:rsidRPr="008267E2">
        <w:rPr>
          <w:rFonts w:eastAsia="Arial"/>
          <w:sz w:val="24"/>
          <w:szCs w:val="24"/>
        </w:rPr>
        <w:t xml:space="preserve">Written Evidence submitted by </w:t>
      </w:r>
      <w:r w:rsidR="001913BD" w:rsidRPr="008267E2">
        <w:rPr>
          <w:rFonts w:eastAsia="Arial"/>
          <w:sz w:val="24"/>
          <w:szCs w:val="24"/>
        </w:rPr>
        <w:t xml:space="preserve">Dr Jennifer Miller </w:t>
      </w:r>
      <w:r w:rsidRPr="008267E2">
        <w:rPr>
          <w:rFonts w:eastAsia="Arial"/>
          <w:sz w:val="24"/>
          <w:szCs w:val="24"/>
        </w:rPr>
        <w:t>and Nottingham Civic Exchange</w:t>
      </w:r>
    </w:p>
    <w:p w14:paraId="4E4E0916" w14:textId="77777777" w:rsidR="00204592" w:rsidRPr="008267E2" w:rsidRDefault="00204592" w:rsidP="002F6260">
      <w:pPr>
        <w:spacing w:line="360" w:lineRule="auto"/>
        <w:ind w:left="142" w:hanging="142"/>
        <w:jc w:val="both"/>
        <w:rPr>
          <w:rFonts w:eastAsia="Arial"/>
          <w:b/>
          <w:sz w:val="24"/>
          <w:szCs w:val="24"/>
        </w:rPr>
      </w:pPr>
    </w:p>
    <w:p w14:paraId="22BF67E9" w14:textId="77777777" w:rsidR="00204592" w:rsidRPr="008267E2" w:rsidRDefault="00740DDE" w:rsidP="002F6260">
      <w:pPr>
        <w:pStyle w:val="ListParagraph"/>
        <w:numPr>
          <w:ilvl w:val="0"/>
          <w:numId w:val="10"/>
        </w:numPr>
        <w:spacing w:line="360" w:lineRule="auto"/>
        <w:ind w:left="142" w:hanging="142"/>
        <w:jc w:val="both"/>
        <w:rPr>
          <w:rFonts w:eastAsia="Arial"/>
          <w:sz w:val="32"/>
          <w:szCs w:val="24"/>
        </w:rPr>
      </w:pPr>
      <w:r w:rsidRPr="008267E2">
        <w:rPr>
          <w:rFonts w:eastAsia="Arial"/>
          <w:b/>
          <w:sz w:val="32"/>
          <w:szCs w:val="24"/>
        </w:rPr>
        <w:t>Executive Summary</w:t>
      </w:r>
    </w:p>
    <w:p w14:paraId="24022419" w14:textId="4EA52FD1" w:rsidR="008267E2" w:rsidRDefault="00740DDE" w:rsidP="002F6260">
      <w:pPr>
        <w:pStyle w:val="ListParagraph"/>
        <w:numPr>
          <w:ilvl w:val="1"/>
          <w:numId w:val="10"/>
        </w:numPr>
        <w:spacing w:line="360" w:lineRule="auto"/>
        <w:ind w:left="567" w:hanging="142"/>
        <w:jc w:val="both"/>
        <w:rPr>
          <w:rFonts w:eastAsia="Arial"/>
          <w:sz w:val="24"/>
          <w:szCs w:val="24"/>
        </w:rPr>
      </w:pPr>
      <w:r w:rsidRPr="008267E2">
        <w:rPr>
          <w:rFonts w:eastAsia="Arial"/>
          <w:sz w:val="24"/>
          <w:szCs w:val="24"/>
        </w:rPr>
        <w:t xml:space="preserve">This </w:t>
      </w:r>
      <w:r w:rsidR="0038544C" w:rsidRPr="008267E2">
        <w:rPr>
          <w:rFonts w:eastAsia="Arial"/>
          <w:sz w:val="24"/>
          <w:szCs w:val="24"/>
        </w:rPr>
        <w:t>submission focusses on the need to utilise a particular forensic science technique and improve its reach and use.  Dr Miller is an academic and practi</w:t>
      </w:r>
      <w:r w:rsidR="00317E8D" w:rsidRPr="008267E2">
        <w:rPr>
          <w:rFonts w:eastAsia="Arial"/>
          <w:sz w:val="24"/>
          <w:szCs w:val="24"/>
        </w:rPr>
        <w:t>ce</w:t>
      </w:r>
      <w:r w:rsidR="0038544C" w:rsidRPr="008267E2">
        <w:rPr>
          <w:rFonts w:eastAsia="Arial"/>
          <w:sz w:val="24"/>
          <w:szCs w:val="24"/>
        </w:rPr>
        <w:t xml:space="preserve"> expert working in stomach content analysis and argues that this method can be used to improve forensic science outcomes</w:t>
      </w:r>
      <w:r w:rsidR="00317E8D" w:rsidRPr="008267E2">
        <w:rPr>
          <w:rFonts w:eastAsia="Arial"/>
          <w:sz w:val="24"/>
          <w:szCs w:val="24"/>
        </w:rPr>
        <w:t xml:space="preserve"> </w:t>
      </w:r>
      <w:r w:rsidR="008A01AF">
        <w:rPr>
          <w:rFonts w:eastAsia="Arial"/>
          <w:sz w:val="24"/>
          <w:szCs w:val="24"/>
        </w:rPr>
        <w:t>by</w:t>
      </w:r>
      <w:r w:rsidR="008A01AF" w:rsidRPr="008267E2">
        <w:rPr>
          <w:rFonts w:eastAsia="Arial"/>
          <w:sz w:val="24"/>
          <w:szCs w:val="24"/>
        </w:rPr>
        <w:t xml:space="preserve"> </w:t>
      </w:r>
      <w:r w:rsidR="00317E8D" w:rsidRPr="008267E2">
        <w:rPr>
          <w:rFonts w:eastAsia="Arial"/>
          <w:sz w:val="24"/>
          <w:szCs w:val="24"/>
        </w:rPr>
        <w:t>greatly improving time of death estimations</w:t>
      </w:r>
      <w:r w:rsidR="0038544C" w:rsidRPr="008267E2">
        <w:rPr>
          <w:rFonts w:eastAsia="Arial"/>
          <w:sz w:val="24"/>
          <w:szCs w:val="24"/>
        </w:rPr>
        <w:t>.</w:t>
      </w:r>
    </w:p>
    <w:p w14:paraId="184F81DB" w14:textId="77777777" w:rsidR="0038544C" w:rsidRDefault="0038544C" w:rsidP="002F6260">
      <w:pPr>
        <w:pStyle w:val="ListParagraph"/>
        <w:numPr>
          <w:ilvl w:val="1"/>
          <w:numId w:val="10"/>
        </w:numPr>
        <w:spacing w:line="360" w:lineRule="auto"/>
        <w:ind w:left="567" w:hanging="142"/>
        <w:jc w:val="both"/>
        <w:rPr>
          <w:rFonts w:eastAsia="Arial"/>
          <w:sz w:val="24"/>
          <w:szCs w:val="24"/>
        </w:rPr>
      </w:pPr>
      <w:r w:rsidRPr="008267E2">
        <w:rPr>
          <w:rFonts w:eastAsia="Arial"/>
          <w:sz w:val="24"/>
          <w:szCs w:val="24"/>
        </w:rPr>
        <w:t xml:space="preserve">Advances in techniques through </w:t>
      </w:r>
      <w:r w:rsidR="00317E8D" w:rsidRPr="008267E2">
        <w:rPr>
          <w:rFonts w:eastAsia="Arial"/>
          <w:sz w:val="24"/>
          <w:szCs w:val="24"/>
        </w:rPr>
        <w:t xml:space="preserve">Dr Miller’s </w:t>
      </w:r>
      <w:r w:rsidRPr="008267E2">
        <w:rPr>
          <w:rFonts w:eastAsia="Arial"/>
          <w:sz w:val="24"/>
          <w:szCs w:val="24"/>
        </w:rPr>
        <w:t xml:space="preserve">research have proven </w:t>
      </w:r>
      <w:r w:rsidR="00317E8D" w:rsidRPr="008267E2">
        <w:rPr>
          <w:rFonts w:eastAsia="Arial"/>
          <w:sz w:val="24"/>
          <w:szCs w:val="24"/>
        </w:rPr>
        <w:t>its</w:t>
      </w:r>
      <w:r w:rsidRPr="008267E2">
        <w:rPr>
          <w:rFonts w:eastAsia="Arial"/>
          <w:sz w:val="24"/>
          <w:szCs w:val="24"/>
        </w:rPr>
        <w:t xml:space="preserve"> utility to improve time of death estimations and her skills have been used by a number of forces across the UK. (20-25 cases a year)</w:t>
      </w:r>
    </w:p>
    <w:p w14:paraId="45382259" w14:textId="77777777" w:rsidR="00317E8D" w:rsidRDefault="0038544C" w:rsidP="002F6260">
      <w:pPr>
        <w:pStyle w:val="ListParagraph"/>
        <w:numPr>
          <w:ilvl w:val="1"/>
          <w:numId w:val="10"/>
        </w:numPr>
        <w:spacing w:line="360" w:lineRule="auto"/>
        <w:ind w:left="567" w:hanging="142"/>
        <w:jc w:val="both"/>
        <w:rPr>
          <w:rFonts w:eastAsia="Arial"/>
          <w:sz w:val="24"/>
          <w:szCs w:val="24"/>
        </w:rPr>
      </w:pPr>
      <w:r w:rsidRPr="008267E2">
        <w:rPr>
          <w:rFonts w:eastAsia="Arial"/>
          <w:sz w:val="24"/>
          <w:szCs w:val="24"/>
        </w:rPr>
        <w:t xml:space="preserve">Additional </w:t>
      </w:r>
      <w:r w:rsidR="00317E8D" w:rsidRPr="008267E2">
        <w:rPr>
          <w:rFonts w:eastAsia="Arial"/>
          <w:sz w:val="24"/>
          <w:szCs w:val="24"/>
        </w:rPr>
        <w:t>recognition</w:t>
      </w:r>
      <w:r w:rsidRPr="008267E2">
        <w:rPr>
          <w:rFonts w:eastAsia="Arial"/>
          <w:sz w:val="24"/>
          <w:szCs w:val="24"/>
        </w:rPr>
        <w:t xml:space="preserve"> from the Home Office and Regulator </w:t>
      </w:r>
      <w:r w:rsidR="00317E8D" w:rsidRPr="008267E2">
        <w:rPr>
          <w:rFonts w:eastAsia="Arial"/>
          <w:sz w:val="24"/>
          <w:szCs w:val="24"/>
        </w:rPr>
        <w:t>can help t</w:t>
      </w:r>
      <w:r w:rsidRPr="008267E2">
        <w:rPr>
          <w:rFonts w:eastAsia="Arial"/>
          <w:sz w:val="24"/>
          <w:szCs w:val="24"/>
        </w:rPr>
        <w:t>o improve Police Force</w:t>
      </w:r>
      <w:r w:rsidR="00317E8D" w:rsidRPr="008267E2">
        <w:rPr>
          <w:rFonts w:eastAsia="Arial"/>
          <w:sz w:val="24"/>
          <w:szCs w:val="24"/>
        </w:rPr>
        <w:t>, Pathologist, NCA</w:t>
      </w:r>
      <w:r w:rsidRPr="008267E2">
        <w:rPr>
          <w:rFonts w:eastAsia="Arial"/>
          <w:sz w:val="24"/>
          <w:szCs w:val="24"/>
        </w:rPr>
        <w:t xml:space="preserve"> and C</w:t>
      </w:r>
      <w:r w:rsidR="00317E8D" w:rsidRPr="008267E2">
        <w:rPr>
          <w:rFonts w:eastAsia="Arial"/>
          <w:sz w:val="24"/>
          <w:szCs w:val="24"/>
        </w:rPr>
        <w:t xml:space="preserve">rown </w:t>
      </w:r>
      <w:r w:rsidRPr="008267E2">
        <w:rPr>
          <w:rFonts w:eastAsia="Arial"/>
          <w:sz w:val="24"/>
          <w:szCs w:val="24"/>
        </w:rPr>
        <w:t>P</w:t>
      </w:r>
      <w:r w:rsidR="00317E8D" w:rsidRPr="008267E2">
        <w:rPr>
          <w:rFonts w:eastAsia="Arial"/>
          <w:sz w:val="24"/>
          <w:szCs w:val="24"/>
        </w:rPr>
        <w:t xml:space="preserve">rosecution </w:t>
      </w:r>
      <w:r w:rsidRPr="008267E2">
        <w:rPr>
          <w:rFonts w:eastAsia="Arial"/>
          <w:sz w:val="24"/>
          <w:szCs w:val="24"/>
        </w:rPr>
        <w:t>S</w:t>
      </w:r>
      <w:r w:rsidR="00317E8D" w:rsidRPr="008267E2">
        <w:rPr>
          <w:rFonts w:eastAsia="Arial"/>
          <w:sz w:val="24"/>
          <w:szCs w:val="24"/>
        </w:rPr>
        <w:t>ervice</w:t>
      </w:r>
      <w:r w:rsidRPr="008267E2">
        <w:rPr>
          <w:rFonts w:eastAsia="Arial"/>
          <w:sz w:val="24"/>
          <w:szCs w:val="24"/>
        </w:rPr>
        <w:t xml:space="preserve"> understanding </w:t>
      </w:r>
      <w:r w:rsidR="00317E8D" w:rsidRPr="008267E2">
        <w:rPr>
          <w:rFonts w:eastAsia="Arial"/>
          <w:sz w:val="24"/>
          <w:szCs w:val="24"/>
        </w:rPr>
        <w:t>of the techniques to improve its use in cases where it would prove invaluable additional evidence.</w:t>
      </w:r>
    </w:p>
    <w:p w14:paraId="7CF24207" w14:textId="7AE22636" w:rsidR="0038544C" w:rsidRPr="008267E2" w:rsidRDefault="00317E8D" w:rsidP="002F6260">
      <w:pPr>
        <w:pStyle w:val="ListParagraph"/>
        <w:numPr>
          <w:ilvl w:val="1"/>
          <w:numId w:val="10"/>
        </w:numPr>
        <w:spacing w:line="360" w:lineRule="auto"/>
        <w:ind w:left="567" w:hanging="142"/>
        <w:jc w:val="both"/>
        <w:rPr>
          <w:rFonts w:eastAsia="Arial"/>
          <w:sz w:val="24"/>
          <w:szCs w:val="24"/>
        </w:rPr>
      </w:pPr>
      <w:r w:rsidRPr="008267E2">
        <w:rPr>
          <w:rFonts w:eastAsia="Arial"/>
          <w:sz w:val="24"/>
          <w:szCs w:val="24"/>
        </w:rPr>
        <w:t xml:space="preserve">Due to the nature of the techniques, </w:t>
      </w:r>
      <w:r w:rsidR="008267E2" w:rsidRPr="008267E2">
        <w:rPr>
          <w:rFonts w:eastAsia="Arial"/>
          <w:sz w:val="24"/>
          <w:szCs w:val="24"/>
        </w:rPr>
        <w:t>Forensic</w:t>
      </w:r>
      <w:r w:rsidR="0038544C" w:rsidRPr="008267E2">
        <w:rPr>
          <w:rFonts w:eastAsia="Arial"/>
          <w:sz w:val="24"/>
          <w:szCs w:val="24"/>
        </w:rPr>
        <w:t xml:space="preserve"> Practi</w:t>
      </w:r>
      <w:r w:rsidRPr="008267E2">
        <w:rPr>
          <w:rFonts w:eastAsia="Arial"/>
          <w:sz w:val="24"/>
          <w:szCs w:val="24"/>
        </w:rPr>
        <w:t>ti</w:t>
      </w:r>
      <w:r w:rsidR="0038544C" w:rsidRPr="008267E2">
        <w:rPr>
          <w:rFonts w:eastAsia="Arial"/>
          <w:sz w:val="24"/>
          <w:szCs w:val="24"/>
        </w:rPr>
        <w:t>oners</w:t>
      </w:r>
      <w:r w:rsidRPr="008267E2">
        <w:rPr>
          <w:rFonts w:eastAsia="Arial"/>
          <w:sz w:val="24"/>
          <w:szCs w:val="24"/>
        </w:rPr>
        <w:t xml:space="preserve"> should be trained in the required methods to ensure they become part of the common fore</w:t>
      </w:r>
      <w:r w:rsidR="008267E2">
        <w:rPr>
          <w:rFonts w:eastAsia="Arial"/>
          <w:sz w:val="24"/>
          <w:szCs w:val="24"/>
        </w:rPr>
        <w:t>ns</w:t>
      </w:r>
      <w:r w:rsidRPr="008267E2">
        <w:rPr>
          <w:rFonts w:eastAsia="Arial"/>
          <w:sz w:val="24"/>
          <w:szCs w:val="24"/>
        </w:rPr>
        <w:t xml:space="preserve">ic scientists’ toolkit to help improve </w:t>
      </w:r>
      <w:r w:rsidR="008267E2" w:rsidRPr="008267E2">
        <w:rPr>
          <w:rFonts w:eastAsia="Arial"/>
          <w:sz w:val="24"/>
          <w:szCs w:val="24"/>
        </w:rPr>
        <w:t>forensic</w:t>
      </w:r>
      <w:r w:rsidRPr="008267E2">
        <w:rPr>
          <w:rFonts w:eastAsia="Arial"/>
          <w:sz w:val="24"/>
          <w:szCs w:val="24"/>
        </w:rPr>
        <w:t xml:space="preserve"> outcomes. Currently this is not the case and would be </w:t>
      </w:r>
      <w:r w:rsidR="008267E2" w:rsidRPr="008267E2">
        <w:rPr>
          <w:rFonts w:eastAsia="Arial"/>
          <w:sz w:val="24"/>
          <w:szCs w:val="24"/>
        </w:rPr>
        <w:t>beneficial</w:t>
      </w:r>
      <w:r w:rsidRPr="008267E2">
        <w:rPr>
          <w:rFonts w:eastAsia="Arial"/>
          <w:sz w:val="24"/>
          <w:szCs w:val="24"/>
        </w:rPr>
        <w:t xml:space="preserve"> to the understanding of unexplained deaths in the UK.</w:t>
      </w:r>
    </w:p>
    <w:p w14:paraId="74DBF655" w14:textId="77777777" w:rsidR="0086464B" w:rsidRPr="008267E2" w:rsidRDefault="0086464B" w:rsidP="002F6260">
      <w:pPr>
        <w:pStyle w:val="ListParagraph"/>
        <w:spacing w:line="360" w:lineRule="auto"/>
        <w:ind w:left="142" w:hanging="142"/>
        <w:jc w:val="both"/>
        <w:rPr>
          <w:rFonts w:eastAsia="Arial"/>
          <w:sz w:val="24"/>
          <w:szCs w:val="24"/>
        </w:rPr>
      </w:pPr>
    </w:p>
    <w:p w14:paraId="35861B62" w14:textId="77777777" w:rsidR="00132EA0" w:rsidRPr="008267E2" w:rsidRDefault="00740DDE" w:rsidP="002F6260">
      <w:pPr>
        <w:pStyle w:val="ListParagraph"/>
        <w:numPr>
          <w:ilvl w:val="0"/>
          <w:numId w:val="10"/>
        </w:numPr>
        <w:shd w:val="clear" w:color="auto" w:fill="FEFEFE"/>
        <w:spacing w:after="0" w:line="360" w:lineRule="auto"/>
        <w:ind w:left="142" w:hanging="142"/>
        <w:jc w:val="both"/>
        <w:rPr>
          <w:rFonts w:eastAsia="Arial"/>
          <w:sz w:val="32"/>
          <w:szCs w:val="24"/>
          <w:highlight w:val="white"/>
        </w:rPr>
      </w:pPr>
      <w:r w:rsidRPr="008267E2">
        <w:rPr>
          <w:rFonts w:eastAsia="Arial"/>
          <w:b/>
          <w:sz w:val="32"/>
          <w:szCs w:val="24"/>
        </w:rPr>
        <w:t>About the author</w:t>
      </w:r>
      <w:r w:rsidR="00655B79" w:rsidRPr="008267E2">
        <w:rPr>
          <w:rFonts w:eastAsia="Arial"/>
          <w:b/>
          <w:sz w:val="32"/>
          <w:szCs w:val="24"/>
        </w:rPr>
        <w:t>s</w:t>
      </w:r>
    </w:p>
    <w:p w14:paraId="74D545DB" w14:textId="7D917EB3" w:rsidR="001913BD" w:rsidRPr="008267E2" w:rsidRDefault="00C44814" w:rsidP="002F6260">
      <w:pPr>
        <w:pStyle w:val="ListParagraph"/>
        <w:numPr>
          <w:ilvl w:val="1"/>
          <w:numId w:val="10"/>
        </w:numPr>
        <w:shd w:val="clear" w:color="auto" w:fill="FEFEFE"/>
        <w:spacing w:after="0" w:line="360" w:lineRule="auto"/>
        <w:ind w:left="567" w:hanging="142"/>
        <w:jc w:val="both"/>
        <w:rPr>
          <w:sz w:val="24"/>
          <w:szCs w:val="24"/>
        </w:rPr>
      </w:pPr>
      <w:hyperlink r:id="rId8" w:history="1">
        <w:r w:rsidR="001913BD" w:rsidRPr="008267E2">
          <w:rPr>
            <w:rStyle w:val="Hyperlink"/>
            <w:rFonts w:eastAsia="Arial"/>
            <w:sz w:val="24"/>
            <w:szCs w:val="24"/>
          </w:rPr>
          <w:t>Dr Jennife</w:t>
        </w:r>
        <w:r w:rsidR="001913BD" w:rsidRPr="008267E2">
          <w:rPr>
            <w:rStyle w:val="Hyperlink"/>
            <w:rFonts w:eastAsia="Arial"/>
            <w:sz w:val="24"/>
            <w:szCs w:val="24"/>
          </w:rPr>
          <w:t>r</w:t>
        </w:r>
        <w:r w:rsidR="001913BD" w:rsidRPr="008267E2">
          <w:rPr>
            <w:rStyle w:val="Hyperlink"/>
            <w:rFonts w:eastAsia="Arial"/>
            <w:sz w:val="24"/>
            <w:szCs w:val="24"/>
          </w:rPr>
          <w:t xml:space="preserve"> Miller</w:t>
        </w:r>
      </w:hyperlink>
      <w:r w:rsidR="001913BD" w:rsidRPr="008267E2">
        <w:rPr>
          <w:sz w:val="24"/>
          <w:szCs w:val="24"/>
        </w:rPr>
        <w:t xml:space="preserve"> is module leader fo</w:t>
      </w:r>
      <w:r w:rsidR="007327C7" w:rsidRPr="008267E2">
        <w:rPr>
          <w:sz w:val="24"/>
          <w:szCs w:val="24"/>
        </w:rPr>
        <w:t>r Forensic Casework Examination</w:t>
      </w:r>
      <w:r w:rsidR="008A01AF">
        <w:rPr>
          <w:sz w:val="24"/>
          <w:szCs w:val="24"/>
        </w:rPr>
        <w:t>, Introduction to Suspicious Death Investigation and the MSc module Forensic Bioarchaeology</w:t>
      </w:r>
      <w:r w:rsidR="001913BD" w:rsidRPr="008267E2">
        <w:rPr>
          <w:sz w:val="24"/>
          <w:szCs w:val="24"/>
        </w:rPr>
        <w:t xml:space="preserve">.  She also teaches on Advanced CSI, Genetics for Identification and </w:t>
      </w:r>
      <w:r w:rsidR="007327C7" w:rsidRPr="008267E2">
        <w:rPr>
          <w:sz w:val="24"/>
          <w:szCs w:val="24"/>
        </w:rPr>
        <w:t xml:space="preserve">the final year </w:t>
      </w:r>
      <w:r w:rsidR="001913BD" w:rsidRPr="008267E2">
        <w:rPr>
          <w:sz w:val="24"/>
          <w:szCs w:val="24"/>
        </w:rPr>
        <w:t>Resea</w:t>
      </w:r>
      <w:r w:rsidR="007327C7" w:rsidRPr="008267E2">
        <w:rPr>
          <w:sz w:val="24"/>
          <w:szCs w:val="24"/>
        </w:rPr>
        <w:t>rch Project whilst also acting as</w:t>
      </w:r>
      <w:r w:rsidR="001913BD" w:rsidRPr="008267E2">
        <w:rPr>
          <w:sz w:val="24"/>
          <w:szCs w:val="24"/>
        </w:rPr>
        <w:t xml:space="preserve"> Year 3 tutor for </w:t>
      </w:r>
      <w:r w:rsidR="008A01AF">
        <w:rPr>
          <w:sz w:val="24"/>
          <w:szCs w:val="24"/>
        </w:rPr>
        <w:t>F</w:t>
      </w:r>
      <w:r w:rsidR="001913BD" w:rsidRPr="008267E2">
        <w:rPr>
          <w:sz w:val="24"/>
          <w:szCs w:val="24"/>
        </w:rPr>
        <w:t xml:space="preserve">orensic </w:t>
      </w:r>
      <w:r w:rsidR="008A01AF">
        <w:rPr>
          <w:sz w:val="24"/>
          <w:szCs w:val="24"/>
        </w:rPr>
        <w:t>S</w:t>
      </w:r>
      <w:r w:rsidR="001913BD" w:rsidRPr="008267E2">
        <w:rPr>
          <w:sz w:val="24"/>
          <w:szCs w:val="24"/>
        </w:rPr>
        <w:t>cience</w:t>
      </w:r>
      <w:r w:rsidR="008A01AF">
        <w:rPr>
          <w:sz w:val="24"/>
          <w:szCs w:val="24"/>
        </w:rPr>
        <w:t xml:space="preserve"> and course leader for The Masters </w:t>
      </w:r>
      <w:r w:rsidR="008A01AF">
        <w:rPr>
          <w:sz w:val="24"/>
          <w:szCs w:val="24"/>
        </w:rPr>
        <w:lastRenderedPageBreak/>
        <w:t>degree in Forensic Science</w:t>
      </w:r>
      <w:r w:rsidR="001913BD" w:rsidRPr="008267E2">
        <w:rPr>
          <w:sz w:val="24"/>
          <w:szCs w:val="24"/>
        </w:rPr>
        <w:t>. Dr Miller helps train police personnel in crime scene investigation and undertakes forensic casework UK wide, primarily in the field of stomach contents analysis, which is her main research focus, but also in the search for and recovery of human remains in problematic circumstances.</w:t>
      </w:r>
    </w:p>
    <w:p w14:paraId="34E5D8CC" w14:textId="7E1C8733" w:rsidR="007327C7" w:rsidRDefault="007327C7" w:rsidP="002F6260">
      <w:pPr>
        <w:pStyle w:val="ListParagraph"/>
        <w:numPr>
          <w:ilvl w:val="1"/>
          <w:numId w:val="10"/>
        </w:numPr>
        <w:shd w:val="clear" w:color="auto" w:fill="FEFEFE"/>
        <w:spacing w:after="0" w:line="360" w:lineRule="auto"/>
        <w:ind w:left="567" w:hanging="142"/>
        <w:jc w:val="both"/>
        <w:rPr>
          <w:sz w:val="24"/>
          <w:szCs w:val="24"/>
        </w:rPr>
      </w:pPr>
      <w:r w:rsidRPr="008267E2">
        <w:rPr>
          <w:sz w:val="24"/>
          <w:szCs w:val="24"/>
        </w:rPr>
        <w:t>Prior to working at NTU Dr Miller has worked on seven different university forensic science courses and has r</w:t>
      </w:r>
      <w:r w:rsidR="001913BD" w:rsidRPr="008267E2">
        <w:rPr>
          <w:sz w:val="24"/>
          <w:szCs w:val="24"/>
        </w:rPr>
        <w:t>esearch links with the University of Glasgow Departments of Archaeology, Medicine and Forensic Medicine in relation to stomach contents analysis and evaluating the potential of diatoms in cases of suspected drownings.</w:t>
      </w:r>
      <w:r w:rsidRPr="008267E2">
        <w:rPr>
          <w:sz w:val="24"/>
          <w:szCs w:val="24"/>
        </w:rPr>
        <w:t xml:space="preserve"> Dr Miller was also </w:t>
      </w:r>
      <w:r w:rsidR="008A01AF">
        <w:rPr>
          <w:sz w:val="24"/>
          <w:szCs w:val="24"/>
        </w:rPr>
        <w:t xml:space="preserve">previously </w:t>
      </w:r>
      <w:r w:rsidRPr="008267E2">
        <w:rPr>
          <w:sz w:val="24"/>
          <w:szCs w:val="24"/>
        </w:rPr>
        <w:t xml:space="preserve">Head of </w:t>
      </w:r>
      <w:r w:rsidR="008A01AF">
        <w:rPr>
          <w:sz w:val="24"/>
          <w:szCs w:val="24"/>
        </w:rPr>
        <w:t xml:space="preserve">the </w:t>
      </w:r>
      <w:r w:rsidRPr="008267E2">
        <w:rPr>
          <w:sz w:val="24"/>
          <w:szCs w:val="24"/>
        </w:rPr>
        <w:t>Forensic Bioarchaeology Unit, York Archaeological Trust.</w:t>
      </w:r>
    </w:p>
    <w:p w14:paraId="277BB8F3" w14:textId="77777777" w:rsidR="002F6260" w:rsidRDefault="002F6260" w:rsidP="002F6260">
      <w:pPr>
        <w:pStyle w:val="ListParagraph"/>
        <w:shd w:val="clear" w:color="auto" w:fill="FEFEFE"/>
        <w:spacing w:after="0" w:line="360" w:lineRule="auto"/>
        <w:ind w:left="567"/>
        <w:jc w:val="both"/>
        <w:rPr>
          <w:sz w:val="24"/>
          <w:szCs w:val="24"/>
        </w:rPr>
      </w:pPr>
    </w:p>
    <w:p w14:paraId="4AAB4B43" w14:textId="77777777" w:rsidR="007327C7" w:rsidRDefault="007327C7" w:rsidP="002F6260">
      <w:pPr>
        <w:pStyle w:val="ListParagraph"/>
        <w:numPr>
          <w:ilvl w:val="1"/>
          <w:numId w:val="10"/>
        </w:numPr>
        <w:shd w:val="clear" w:color="auto" w:fill="FEFEFE"/>
        <w:spacing w:after="0" w:line="360" w:lineRule="auto"/>
        <w:ind w:left="567" w:hanging="142"/>
        <w:jc w:val="both"/>
        <w:rPr>
          <w:i/>
          <w:sz w:val="24"/>
          <w:szCs w:val="24"/>
        </w:rPr>
      </w:pPr>
      <w:r w:rsidRPr="008267E2">
        <w:rPr>
          <w:i/>
          <w:sz w:val="24"/>
          <w:szCs w:val="24"/>
        </w:rPr>
        <w:t>Her research focuses on:</w:t>
      </w:r>
    </w:p>
    <w:p w14:paraId="652D60F7" w14:textId="1D106D44" w:rsidR="001913BD" w:rsidRPr="008267E2" w:rsidRDefault="001913BD" w:rsidP="00DB518C">
      <w:pPr>
        <w:pStyle w:val="ListParagraph"/>
        <w:numPr>
          <w:ilvl w:val="2"/>
          <w:numId w:val="19"/>
        </w:numPr>
        <w:shd w:val="clear" w:color="auto" w:fill="FEFEFE"/>
        <w:spacing w:after="0" w:line="360" w:lineRule="auto"/>
        <w:ind w:left="851"/>
        <w:jc w:val="both"/>
        <w:rPr>
          <w:sz w:val="24"/>
          <w:szCs w:val="24"/>
        </w:rPr>
      </w:pPr>
      <w:r w:rsidRPr="008267E2">
        <w:rPr>
          <w:sz w:val="24"/>
          <w:szCs w:val="24"/>
        </w:rPr>
        <w:t>Stomach contents analysis to determine last foods consumed, duration, timings &amp; other events for criminal investigation</w:t>
      </w:r>
    </w:p>
    <w:p w14:paraId="18EDD77F" w14:textId="35D19AD1" w:rsidR="001913BD" w:rsidRPr="008267E2" w:rsidRDefault="001913BD" w:rsidP="00DB518C">
      <w:pPr>
        <w:pStyle w:val="ListParagraph"/>
        <w:numPr>
          <w:ilvl w:val="2"/>
          <w:numId w:val="19"/>
        </w:numPr>
        <w:shd w:val="clear" w:color="auto" w:fill="FEFEFE"/>
        <w:spacing w:after="0" w:line="360" w:lineRule="auto"/>
        <w:ind w:left="851"/>
        <w:jc w:val="both"/>
        <w:rPr>
          <w:sz w:val="24"/>
          <w:szCs w:val="24"/>
        </w:rPr>
      </w:pPr>
      <w:r w:rsidRPr="008267E2">
        <w:rPr>
          <w:sz w:val="24"/>
          <w:szCs w:val="24"/>
        </w:rPr>
        <w:t>Gastric transit</w:t>
      </w:r>
      <w:r w:rsidR="00BB60AD">
        <w:rPr>
          <w:sz w:val="24"/>
          <w:szCs w:val="24"/>
        </w:rPr>
        <w:t>, infant formula characterisation</w:t>
      </w:r>
      <w:r w:rsidRPr="008267E2">
        <w:rPr>
          <w:sz w:val="24"/>
          <w:szCs w:val="24"/>
        </w:rPr>
        <w:t xml:space="preserve"> and digestion in infancy for forensic application</w:t>
      </w:r>
    </w:p>
    <w:p w14:paraId="7770EEF6" w14:textId="41C3D4A8" w:rsidR="001913BD" w:rsidRPr="008267E2" w:rsidRDefault="001913BD" w:rsidP="00DB518C">
      <w:pPr>
        <w:pStyle w:val="ListParagraph"/>
        <w:numPr>
          <w:ilvl w:val="2"/>
          <w:numId w:val="19"/>
        </w:numPr>
        <w:shd w:val="clear" w:color="auto" w:fill="FEFEFE"/>
        <w:spacing w:after="0" w:line="360" w:lineRule="auto"/>
        <w:ind w:left="851"/>
        <w:jc w:val="both"/>
        <w:rPr>
          <w:sz w:val="24"/>
          <w:szCs w:val="24"/>
        </w:rPr>
      </w:pPr>
      <w:r w:rsidRPr="008267E2">
        <w:rPr>
          <w:sz w:val="24"/>
          <w:szCs w:val="24"/>
        </w:rPr>
        <w:t>Forensic archaeology: methods for search &amp; problematic human remains recovery</w:t>
      </w:r>
    </w:p>
    <w:p w14:paraId="428C4CAD" w14:textId="501F4184" w:rsidR="001913BD" w:rsidRPr="008267E2" w:rsidRDefault="001913BD" w:rsidP="00DB518C">
      <w:pPr>
        <w:pStyle w:val="ListParagraph"/>
        <w:numPr>
          <w:ilvl w:val="2"/>
          <w:numId w:val="19"/>
        </w:numPr>
        <w:shd w:val="clear" w:color="auto" w:fill="FEFEFE"/>
        <w:spacing w:after="0" w:line="360" w:lineRule="auto"/>
        <w:ind w:left="851"/>
        <w:jc w:val="both"/>
        <w:rPr>
          <w:sz w:val="24"/>
          <w:szCs w:val="24"/>
        </w:rPr>
      </w:pPr>
      <w:r w:rsidRPr="008267E2">
        <w:rPr>
          <w:sz w:val="24"/>
          <w:szCs w:val="24"/>
        </w:rPr>
        <w:t>Refining interpretation of non-standard &amp; environmental forensic evidence</w:t>
      </w:r>
    </w:p>
    <w:p w14:paraId="1B6665B0" w14:textId="261205A3" w:rsidR="001913BD" w:rsidRDefault="001913BD" w:rsidP="00DB518C">
      <w:pPr>
        <w:pStyle w:val="ListParagraph"/>
        <w:numPr>
          <w:ilvl w:val="2"/>
          <w:numId w:val="19"/>
        </w:numPr>
        <w:shd w:val="clear" w:color="auto" w:fill="FEFEFE"/>
        <w:spacing w:after="0" w:line="360" w:lineRule="auto"/>
        <w:ind w:left="851"/>
        <w:jc w:val="both"/>
        <w:rPr>
          <w:sz w:val="24"/>
          <w:szCs w:val="24"/>
        </w:rPr>
      </w:pPr>
      <w:r w:rsidRPr="008267E2">
        <w:rPr>
          <w:sz w:val="24"/>
          <w:szCs w:val="24"/>
        </w:rPr>
        <w:t>Scene examination including interpretation of taphonomy, environmental indicators of contact, duration &amp; timings</w:t>
      </w:r>
    </w:p>
    <w:p w14:paraId="4257C670" w14:textId="77777777" w:rsidR="008267E2" w:rsidRPr="008267E2" w:rsidRDefault="008267E2" w:rsidP="002F6260">
      <w:pPr>
        <w:pStyle w:val="ListParagraph"/>
        <w:shd w:val="clear" w:color="auto" w:fill="FEFEFE"/>
        <w:spacing w:after="0" w:line="360" w:lineRule="auto"/>
        <w:ind w:left="851"/>
        <w:jc w:val="both"/>
        <w:rPr>
          <w:sz w:val="24"/>
          <w:szCs w:val="24"/>
        </w:rPr>
      </w:pPr>
    </w:p>
    <w:p w14:paraId="3C6484B0" w14:textId="77777777" w:rsidR="007327C7" w:rsidRPr="008267E2" w:rsidRDefault="007327C7" w:rsidP="002F6260">
      <w:pPr>
        <w:pStyle w:val="ListParagraph"/>
        <w:numPr>
          <w:ilvl w:val="1"/>
          <w:numId w:val="10"/>
        </w:numPr>
        <w:shd w:val="clear" w:color="auto" w:fill="FEFEFE"/>
        <w:spacing w:after="0" w:line="360" w:lineRule="auto"/>
        <w:ind w:left="567" w:hanging="142"/>
        <w:jc w:val="both"/>
        <w:rPr>
          <w:i/>
          <w:sz w:val="24"/>
          <w:szCs w:val="24"/>
        </w:rPr>
      </w:pPr>
      <w:r w:rsidRPr="008267E2">
        <w:rPr>
          <w:i/>
          <w:sz w:val="24"/>
          <w:szCs w:val="24"/>
        </w:rPr>
        <w:t>Non-academic activity</w:t>
      </w:r>
    </w:p>
    <w:p w14:paraId="77433125" w14:textId="77777777" w:rsidR="007327C7" w:rsidRPr="007327C7" w:rsidRDefault="007327C7" w:rsidP="00DB518C">
      <w:pPr>
        <w:numPr>
          <w:ilvl w:val="2"/>
          <w:numId w:val="20"/>
        </w:numPr>
        <w:shd w:val="clear" w:color="auto" w:fill="FFFFFF"/>
        <w:spacing w:after="100" w:afterAutospacing="1" w:line="360" w:lineRule="auto"/>
        <w:ind w:left="851"/>
        <w:rPr>
          <w:rFonts w:eastAsia="Times New Roman"/>
          <w:color w:val="333333"/>
          <w:sz w:val="24"/>
          <w:szCs w:val="24"/>
        </w:rPr>
      </w:pPr>
      <w:r w:rsidRPr="007327C7">
        <w:rPr>
          <w:rFonts w:eastAsia="Times New Roman"/>
          <w:color w:val="333333"/>
          <w:sz w:val="24"/>
          <w:szCs w:val="24"/>
        </w:rPr>
        <w:t>Professional Member of the Chartered Society for Forensic Sciences</w:t>
      </w:r>
    </w:p>
    <w:p w14:paraId="67C15725" w14:textId="77777777" w:rsidR="007327C7" w:rsidRPr="007327C7" w:rsidRDefault="007327C7" w:rsidP="00DB518C">
      <w:pPr>
        <w:numPr>
          <w:ilvl w:val="2"/>
          <w:numId w:val="20"/>
        </w:numPr>
        <w:shd w:val="clear" w:color="auto" w:fill="FFFFFF"/>
        <w:spacing w:before="100" w:beforeAutospacing="1" w:after="100" w:afterAutospacing="1" w:line="360" w:lineRule="auto"/>
        <w:ind w:left="851"/>
        <w:rPr>
          <w:rFonts w:eastAsia="Times New Roman"/>
          <w:color w:val="333333"/>
          <w:sz w:val="24"/>
          <w:szCs w:val="24"/>
        </w:rPr>
      </w:pPr>
      <w:r w:rsidRPr="007327C7">
        <w:rPr>
          <w:rFonts w:eastAsia="Times New Roman"/>
          <w:color w:val="333333"/>
          <w:sz w:val="24"/>
          <w:szCs w:val="24"/>
        </w:rPr>
        <w:t xml:space="preserve">Professional Member of the Chartered Institute for Archaeologists </w:t>
      </w:r>
    </w:p>
    <w:p w14:paraId="7F390645" w14:textId="77777777" w:rsidR="007327C7" w:rsidRPr="007327C7" w:rsidRDefault="007327C7" w:rsidP="00DB518C">
      <w:pPr>
        <w:numPr>
          <w:ilvl w:val="2"/>
          <w:numId w:val="20"/>
        </w:numPr>
        <w:shd w:val="clear" w:color="auto" w:fill="FFFFFF"/>
        <w:spacing w:before="100" w:beforeAutospacing="1" w:after="100" w:afterAutospacing="1" w:line="360" w:lineRule="auto"/>
        <w:ind w:left="851"/>
        <w:rPr>
          <w:rFonts w:eastAsia="Times New Roman"/>
          <w:color w:val="333333"/>
          <w:sz w:val="24"/>
          <w:szCs w:val="24"/>
        </w:rPr>
      </w:pPr>
      <w:r w:rsidRPr="007327C7">
        <w:rPr>
          <w:rFonts w:eastAsia="Times New Roman"/>
          <w:color w:val="333333"/>
          <w:sz w:val="24"/>
          <w:szCs w:val="24"/>
        </w:rPr>
        <w:t>Member of the Association for Environmental Archaeology</w:t>
      </w:r>
    </w:p>
    <w:p w14:paraId="49B2917B" w14:textId="77777777" w:rsidR="007327C7" w:rsidRPr="007327C7" w:rsidRDefault="007327C7" w:rsidP="00DB518C">
      <w:pPr>
        <w:numPr>
          <w:ilvl w:val="2"/>
          <w:numId w:val="20"/>
        </w:numPr>
        <w:shd w:val="clear" w:color="auto" w:fill="FFFFFF"/>
        <w:spacing w:before="100" w:beforeAutospacing="1" w:after="100" w:afterAutospacing="1" w:line="360" w:lineRule="auto"/>
        <w:ind w:left="851"/>
        <w:rPr>
          <w:rFonts w:eastAsia="Times New Roman"/>
          <w:color w:val="333333"/>
          <w:sz w:val="24"/>
          <w:szCs w:val="24"/>
        </w:rPr>
      </w:pPr>
      <w:r w:rsidRPr="007327C7">
        <w:rPr>
          <w:rFonts w:eastAsia="Times New Roman"/>
          <w:color w:val="333333"/>
          <w:sz w:val="24"/>
          <w:szCs w:val="24"/>
        </w:rPr>
        <w:t>National Crime Agency (NCA) database: Recognised expert in forensic archaeology, search and recovery of human remains, non-standard evidence capture, duration and interpretation of events and stomach contents analysis (numerous Police commendations on file)</w:t>
      </w:r>
    </w:p>
    <w:p w14:paraId="628404CE" w14:textId="77777777" w:rsidR="007327C7" w:rsidRPr="007327C7" w:rsidRDefault="007327C7" w:rsidP="00DB518C">
      <w:pPr>
        <w:numPr>
          <w:ilvl w:val="2"/>
          <w:numId w:val="20"/>
        </w:numPr>
        <w:shd w:val="clear" w:color="auto" w:fill="FFFFFF"/>
        <w:spacing w:before="100" w:beforeAutospacing="1" w:after="100" w:afterAutospacing="1" w:line="360" w:lineRule="auto"/>
        <w:ind w:left="851"/>
        <w:rPr>
          <w:rFonts w:eastAsia="Times New Roman"/>
          <w:color w:val="333333"/>
          <w:sz w:val="24"/>
          <w:szCs w:val="24"/>
        </w:rPr>
      </w:pPr>
      <w:r w:rsidRPr="007327C7">
        <w:rPr>
          <w:rFonts w:eastAsia="Times New Roman"/>
          <w:color w:val="333333"/>
          <w:sz w:val="24"/>
          <w:szCs w:val="24"/>
        </w:rPr>
        <w:t>Home Office Forensic Archaeology Professional Standards Committee member and co-</w:t>
      </w:r>
      <w:bookmarkStart w:id="0" w:name="_GoBack"/>
      <w:bookmarkEnd w:id="0"/>
      <w:r w:rsidRPr="007327C7">
        <w:rPr>
          <w:rFonts w:eastAsia="Times New Roman"/>
          <w:color w:val="333333"/>
          <w:sz w:val="24"/>
          <w:szCs w:val="24"/>
        </w:rPr>
        <w:t>author</w:t>
      </w:r>
    </w:p>
    <w:p w14:paraId="7DB94CF7" w14:textId="77777777" w:rsidR="007327C7" w:rsidRPr="007327C7" w:rsidRDefault="007327C7" w:rsidP="00DB518C">
      <w:pPr>
        <w:numPr>
          <w:ilvl w:val="2"/>
          <w:numId w:val="20"/>
        </w:numPr>
        <w:shd w:val="clear" w:color="auto" w:fill="FFFFFF"/>
        <w:spacing w:before="100" w:beforeAutospacing="1" w:after="100" w:afterAutospacing="1" w:line="360" w:lineRule="auto"/>
        <w:ind w:left="851"/>
        <w:rPr>
          <w:rFonts w:eastAsia="Times New Roman"/>
          <w:color w:val="333333"/>
          <w:sz w:val="24"/>
          <w:szCs w:val="24"/>
        </w:rPr>
      </w:pPr>
      <w:r w:rsidRPr="007327C7">
        <w:rPr>
          <w:rFonts w:eastAsia="Times New Roman"/>
          <w:color w:val="333333"/>
          <w:sz w:val="24"/>
          <w:szCs w:val="24"/>
        </w:rPr>
        <w:lastRenderedPageBreak/>
        <w:t>Member and Competency Assessor for the Expert Panel of the CIfA Forensic Archaeology Group</w:t>
      </w:r>
    </w:p>
    <w:p w14:paraId="48CAA2C8" w14:textId="77777777" w:rsidR="00192E4A" w:rsidRPr="008267E2" w:rsidRDefault="007327C7" w:rsidP="00DB518C">
      <w:pPr>
        <w:numPr>
          <w:ilvl w:val="2"/>
          <w:numId w:val="20"/>
        </w:numPr>
        <w:shd w:val="clear" w:color="auto" w:fill="FFFFFF"/>
        <w:spacing w:before="100" w:beforeAutospacing="1" w:after="100" w:afterAutospacing="1" w:line="360" w:lineRule="auto"/>
        <w:ind w:left="851"/>
        <w:rPr>
          <w:rFonts w:eastAsia="Times New Roman"/>
          <w:color w:val="333333"/>
          <w:sz w:val="24"/>
          <w:szCs w:val="24"/>
        </w:rPr>
      </w:pPr>
      <w:r w:rsidRPr="007327C7">
        <w:rPr>
          <w:rFonts w:eastAsia="Times New Roman"/>
          <w:color w:val="333333"/>
          <w:sz w:val="24"/>
          <w:szCs w:val="24"/>
        </w:rPr>
        <w:t>Member of START (Home Office Search Technology Academic Researc</w:t>
      </w:r>
      <w:r w:rsidRPr="008267E2">
        <w:rPr>
          <w:rFonts w:eastAsia="Times New Roman"/>
          <w:color w:val="333333"/>
          <w:sz w:val="24"/>
          <w:szCs w:val="24"/>
        </w:rPr>
        <w:t>h Team)</w:t>
      </w:r>
    </w:p>
    <w:bookmarkStart w:id="1" w:name="_gjdgxs" w:colFirst="0" w:colLast="0"/>
    <w:bookmarkEnd w:id="1"/>
    <w:p w14:paraId="71C72A3D" w14:textId="77777777" w:rsidR="0075167F" w:rsidRPr="002F6260" w:rsidRDefault="00C44814" w:rsidP="002F6260">
      <w:pPr>
        <w:numPr>
          <w:ilvl w:val="1"/>
          <w:numId w:val="10"/>
        </w:numPr>
        <w:shd w:val="clear" w:color="auto" w:fill="FEFEFE"/>
        <w:spacing w:after="0" w:line="360" w:lineRule="auto"/>
        <w:ind w:left="567" w:hanging="141"/>
        <w:jc w:val="both"/>
        <w:rPr>
          <w:rFonts w:eastAsia="Arial"/>
          <w:sz w:val="24"/>
          <w:szCs w:val="24"/>
          <w:highlight w:val="white"/>
        </w:rPr>
      </w:pPr>
      <w:r>
        <w:fldChar w:fldCharType="begin"/>
      </w:r>
      <w:r>
        <w:instrText xml:space="preserve"> HYPERLINK "http://www.ntu.ac.uk/nce" </w:instrText>
      </w:r>
      <w:r>
        <w:fldChar w:fldCharType="separate"/>
      </w:r>
      <w:r w:rsidR="00740DDE" w:rsidRPr="008267E2">
        <w:rPr>
          <w:rStyle w:val="Hyperlink"/>
          <w:rFonts w:eastAsia="Arial"/>
          <w:sz w:val="24"/>
          <w:szCs w:val="24"/>
          <w:highlight w:val="white"/>
        </w:rPr>
        <w:t>Nottingham Civic Exchange</w:t>
      </w:r>
      <w:r>
        <w:rPr>
          <w:rStyle w:val="Hyperlink"/>
          <w:rFonts w:eastAsia="Arial"/>
          <w:sz w:val="24"/>
          <w:szCs w:val="24"/>
          <w:highlight w:val="white"/>
        </w:rPr>
        <w:fldChar w:fldCharType="end"/>
      </w:r>
      <w:r w:rsidR="00740DDE" w:rsidRPr="008267E2">
        <w:rPr>
          <w:rFonts w:eastAsia="Arial"/>
          <w:sz w:val="24"/>
          <w:szCs w:val="24"/>
          <w:highlight w:val="white"/>
        </w:rPr>
        <w:t xml:space="preserve"> is Nottingham Trent University’s pioneering civic think tank with a primary focus on issues relating </w:t>
      </w:r>
      <w:r w:rsidR="00740DDE" w:rsidRPr="002F6260">
        <w:rPr>
          <w:rFonts w:eastAsia="Arial"/>
          <w:sz w:val="24"/>
          <w:szCs w:val="24"/>
          <w:highlight w:val="white"/>
        </w:rPr>
        <w:t xml:space="preserve">to the city and the region. Nottingham Civic Exchange enables discovery by creating a space where co-produced approaches are developed to tackle entrenched social issues.  Nottingham Civic Exchange supports the role of NTU as an anchor institution in the city and the region. Nottingham Trent University holds engagement with communities, public institutions, civic life, business and residents at the core of its mission. </w:t>
      </w:r>
    </w:p>
    <w:p w14:paraId="00AC64DE" w14:textId="77777777" w:rsidR="007327C7" w:rsidRPr="002F6260" w:rsidRDefault="007327C7" w:rsidP="002F6260">
      <w:pPr>
        <w:shd w:val="clear" w:color="auto" w:fill="FEFEFE"/>
        <w:spacing w:after="0" w:line="360" w:lineRule="auto"/>
        <w:ind w:left="142" w:hanging="142"/>
        <w:jc w:val="both"/>
        <w:rPr>
          <w:rFonts w:eastAsia="Arial"/>
          <w:sz w:val="24"/>
          <w:szCs w:val="24"/>
          <w:highlight w:val="white"/>
        </w:rPr>
      </w:pPr>
    </w:p>
    <w:p w14:paraId="70A6521E" w14:textId="77777777" w:rsidR="0075167F" w:rsidRPr="002F6260" w:rsidRDefault="00631AFC" w:rsidP="002F6260">
      <w:pPr>
        <w:pStyle w:val="ListParagraph"/>
        <w:numPr>
          <w:ilvl w:val="0"/>
          <w:numId w:val="10"/>
        </w:numPr>
        <w:spacing w:after="0" w:line="360" w:lineRule="auto"/>
        <w:ind w:left="142" w:hanging="142"/>
        <w:contextualSpacing w:val="0"/>
        <w:jc w:val="both"/>
        <w:rPr>
          <w:rFonts w:eastAsia="Arial"/>
          <w:sz w:val="32"/>
          <w:szCs w:val="24"/>
        </w:rPr>
      </w:pPr>
      <w:r w:rsidRPr="002F6260">
        <w:rPr>
          <w:rFonts w:eastAsia="Arial"/>
          <w:b/>
          <w:sz w:val="32"/>
          <w:szCs w:val="24"/>
        </w:rPr>
        <w:t xml:space="preserve">Argument and </w:t>
      </w:r>
      <w:r w:rsidR="00702840" w:rsidRPr="002F6260">
        <w:rPr>
          <w:rFonts w:eastAsia="Arial"/>
          <w:b/>
          <w:sz w:val="32"/>
          <w:szCs w:val="24"/>
        </w:rPr>
        <w:t>R</w:t>
      </w:r>
      <w:r w:rsidR="008267E2" w:rsidRPr="002F6260">
        <w:rPr>
          <w:rFonts w:eastAsia="Arial"/>
          <w:b/>
          <w:sz w:val="32"/>
          <w:szCs w:val="24"/>
        </w:rPr>
        <w:t>ecommendations</w:t>
      </w:r>
    </w:p>
    <w:p w14:paraId="707B14CA" w14:textId="77777777" w:rsidR="001913BD" w:rsidRPr="002F6260" w:rsidRDefault="00702840" w:rsidP="002F6260">
      <w:pPr>
        <w:pStyle w:val="ListParagraph"/>
        <w:numPr>
          <w:ilvl w:val="1"/>
          <w:numId w:val="10"/>
        </w:numPr>
        <w:spacing w:after="0" w:line="360" w:lineRule="auto"/>
        <w:ind w:left="567" w:hanging="142"/>
        <w:contextualSpacing w:val="0"/>
        <w:jc w:val="both"/>
        <w:rPr>
          <w:rFonts w:eastAsia="Arial"/>
          <w:sz w:val="24"/>
          <w:szCs w:val="24"/>
        </w:rPr>
      </w:pPr>
      <w:r w:rsidRPr="002F6260">
        <w:rPr>
          <w:rFonts w:eastAsia="Arial"/>
          <w:sz w:val="24"/>
          <w:szCs w:val="24"/>
        </w:rPr>
        <w:t>Estimation of time of death can be highly problematic, relying on the interplay of a number of variable and highly individual factors.  As such, the pathologist leading the post-mortem examination may only be a</w:t>
      </w:r>
      <w:r w:rsidR="00B3520F" w:rsidRPr="002F6260">
        <w:rPr>
          <w:rFonts w:eastAsia="Arial"/>
          <w:sz w:val="24"/>
          <w:szCs w:val="24"/>
        </w:rPr>
        <w:t>ble to assign a broad window of time within which</w:t>
      </w:r>
      <w:r w:rsidRPr="002F6260">
        <w:rPr>
          <w:rFonts w:eastAsia="Arial"/>
          <w:sz w:val="24"/>
          <w:szCs w:val="24"/>
        </w:rPr>
        <w:t xml:space="preserve"> death </w:t>
      </w:r>
      <w:r w:rsidR="00B3520F" w:rsidRPr="002F6260">
        <w:rPr>
          <w:rFonts w:eastAsia="Arial"/>
          <w:sz w:val="24"/>
          <w:szCs w:val="24"/>
        </w:rPr>
        <w:t>has</w:t>
      </w:r>
      <w:r w:rsidRPr="002F6260">
        <w:rPr>
          <w:rFonts w:eastAsia="Arial"/>
          <w:sz w:val="24"/>
          <w:szCs w:val="24"/>
        </w:rPr>
        <w:t xml:space="preserve"> occurred.  This in turn means that the enquiry cannot be </w:t>
      </w:r>
      <w:r w:rsidR="00B3520F" w:rsidRPr="002F6260">
        <w:rPr>
          <w:rFonts w:eastAsia="Arial"/>
          <w:sz w:val="24"/>
          <w:szCs w:val="24"/>
        </w:rPr>
        <w:t>directed especially towards</w:t>
      </w:r>
      <w:r w:rsidRPr="002F6260">
        <w:rPr>
          <w:rFonts w:eastAsia="Arial"/>
          <w:sz w:val="24"/>
          <w:szCs w:val="24"/>
        </w:rPr>
        <w:t xml:space="preserve"> any particular narrow timeframe within the period since the deceased was last seen alive, which may be hours, days</w:t>
      </w:r>
      <w:r w:rsidR="00B3520F" w:rsidRPr="002F6260">
        <w:rPr>
          <w:rFonts w:eastAsia="Arial"/>
          <w:sz w:val="24"/>
          <w:szCs w:val="24"/>
        </w:rPr>
        <w:t xml:space="preserve"> or </w:t>
      </w:r>
      <w:r w:rsidRPr="002F6260">
        <w:rPr>
          <w:rFonts w:eastAsia="Arial"/>
          <w:sz w:val="24"/>
          <w:szCs w:val="24"/>
        </w:rPr>
        <w:t xml:space="preserve">weeks </w:t>
      </w:r>
      <w:r w:rsidR="00B3520F" w:rsidRPr="002F6260">
        <w:rPr>
          <w:rFonts w:eastAsia="Arial"/>
          <w:sz w:val="24"/>
          <w:szCs w:val="24"/>
        </w:rPr>
        <w:t>ago, or</w:t>
      </w:r>
      <w:r w:rsidRPr="002F6260">
        <w:rPr>
          <w:rFonts w:eastAsia="Arial"/>
          <w:sz w:val="24"/>
          <w:szCs w:val="24"/>
        </w:rPr>
        <w:t xml:space="preserve"> longer.</w:t>
      </w:r>
    </w:p>
    <w:p w14:paraId="7D5855A7" w14:textId="77777777" w:rsidR="001913BD" w:rsidRPr="002F6260" w:rsidRDefault="00702840" w:rsidP="002F6260">
      <w:pPr>
        <w:pStyle w:val="ListParagraph"/>
        <w:numPr>
          <w:ilvl w:val="1"/>
          <w:numId w:val="10"/>
        </w:numPr>
        <w:spacing w:after="0" w:line="360" w:lineRule="auto"/>
        <w:ind w:left="567" w:hanging="142"/>
        <w:contextualSpacing w:val="0"/>
        <w:jc w:val="both"/>
        <w:rPr>
          <w:rFonts w:eastAsia="Arial"/>
          <w:sz w:val="24"/>
          <w:szCs w:val="24"/>
        </w:rPr>
      </w:pPr>
      <w:r w:rsidRPr="002F6260">
        <w:rPr>
          <w:rFonts w:eastAsia="Arial"/>
          <w:sz w:val="24"/>
          <w:szCs w:val="24"/>
        </w:rPr>
        <w:t xml:space="preserve">One way to </w:t>
      </w:r>
      <w:r w:rsidR="00B3520F" w:rsidRPr="002F6260">
        <w:rPr>
          <w:rFonts w:eastAsia="Arial"/>
          <w:sz w:val="24"/>
          <w:szCs w:val="24"/>
        </w:rPr>
        <w:t>narrow</w:t>
      </w:r>
      <w:r w:rsidRPr="002F6260">
        <w:rPr>
          <w:rFonts w:eastAsia="Arial"/>
          <w:sz w:val="24"/>
          <w:szCs w:val="24"/>
        </w:rPr>
        <w:t xml:space="preserve"> this broad window of opportunity down to a more succinct and appropriate timescale is by the analysis of content of stomach.  The identification of foods remaining within the stomach </w:t>
      </w:r>
      <w:r w:rsidR="00FD3AC1" w:rsidRPr="002F6260">
        <w:rPr>
          <w:rFonts w:eastAsia="Arial"/>
          <w:sz w:val="24"/>
          <w:szCs w:val="24"/>
        </w:rPr>
        <w:t>is</w:t>
      </w:r>
      <w:r w:rsidRPr="002F6260">
        <w:rPr>
          <w:rFonts w:eastAsia="Arial"/>
          <w:sz w:val="24"/>
          <w:szCs w:val="24"/>
        </w:rPr>
        <w:t xml:space="preserve"> </w:t>
      </w:r>
      <w:r w:rsidR="00FD3AC1" w:rsidRPr="002F6260">
        <w:rPr>
          <w:rFonts w:eastAsia="Arial"/>
          <w:sz w:val="24"/>
          <w:szCs w:val="24"/>
        </w:rPr>
        <w:t xml:space="preserve">often </w:t>
      </w:r>
      <w:r w:rsidRPr="002F6260">
        <w:rPr>
          <w:rFonts w:eastAsia="Arial"/>
          <w:sz w:val="24"/>
          <w:szCs w:val="24"/>
        </w:rPr>
        <w:t>achiev</w:t>
      </w:r>
      <w:r w:rsidR="00FD3AC1" w:rsidRPr="002F6260">
        <w:rPr>
          <w:rFonts w:eastAsia="Arial"/>
          <w:sz w:val="24"/>
          <w:szCs w:val="24"/>
        </w:rPr>
        <w:t>able</w:t>
      </w:r>
      <w:r w:rsidRPr="002F6260">
        <w:rPr>
          <w:rFonts w:eastAsia="Arial"/>
          <w:sz w:val="24"/>
          <w:szCs w:val="24"/>
        </w:rPr>
        <w:t xml:space="preserve"> with a high degree of accuracy, </w:t>
      </w:r>
      <w:r w:rsidR="00B3520F" w:rsidRPr="002F6260">
        <w:rPr>
          <w:rFonts w:eastAsia="Arial"/>
          <w:sz w:val="24"/>
          <w:szCs w:val="24"/>
        </w:rPr>
        <w:t>enabling the</w:t>
      </w:r>
      <w:r w:rsidR="00FD3AC1" w:rsidRPr="002F6260">
        <w:rPr>
          <w:rFonts w:eastAsia="Arial"/>
          <w:sz w:val="24"/>
          <w:szCs w:val="24"/>
        </w:rPr>
        <w:t xml:space="preserve"> </w:t>
      </w:r>
      <w:r w:rsidR="00F75924" w:rsidRPr="002F6260">
        <w:rPr>
          <w:rFonts w:eastAsia="Arial"/>
          <w:sz w:val="24"/>
          <w:szCs w:val="24"/>
        </w:rPr>
        <w:t>determination of</w:t>
      </w:r>
      <w:r w:rsidRPr="002F6260">
        <w:rPr>
          <w:rFonts w:eastAsia="Arial"/>
          <w:sz w:val="24"/>
          <w:szCs w:val="24"/>
        </w:rPr>
        <w:t xml:space="preserve"> </w:t>
      </w:r>
      <w:r w:rsidR="00F75924" w:rsidRPr="002F6260">
        <w:rPr>
          <w:rFonts w:eastAsia="Arial"/>
          <w:sz w:val="24"/>
          <w:szCs w:val="24"/>
        </w:rPr>
        <w:t xml:space="preserve">type of meal consumed, individual components and even cooking methods or </w:t>
      </w:r>
      <w:r w:rsidRPr="002F6260">
        <w:rPr>
          <w:rFonts w:eastAsia="Arial"/>
          <w:sz w:val="24"/>
          <w:szCs w:val="24"/>
        </w:rPr>
        <w:t xml:space="preserve">manner of </w:t>
      </w:r>
      <w:r w:rsidR="00317E8D" w:rsidRPr="002F6260">
        <w:rPr>
          <w:rFonts w:eastAsia="Arial"/>
          <w:sz w:val="24"/>
          <w:szCs w:val="24"/>
        </w:rPr>
        <w:t>/</w:t>
      </w:r>
      <w:r w:rsidRPr="002F6260">
        <w:rPr>
          <w:rFonts w:eastAsia="Arial"/>
          <w:sz w:val="24"/>
          <w:szCs w:val="24"/>
        </w:rPr>
        <w:t>preparation</w:t>
      </w:r>
      <w:r w:rsidR="00F75924" w:rsidRPr="002F6260">
        <w:rPr>
          <w:rFonts w:eastAsia="Arial"/>
          <w:sz w:val="24"/>
          <w:szCs w:val="24"/>
        </w:rPr>
        <w:t xml:space="preserve">. </w:t>
      </w:r>
      <w:r w:rsidR="00FD3AC1" w:rsidRPr="002F6260">
        <w:rPr>
          <w:rFonts w:eastAsia="Arial"/>
          <w:sz w:val="24"/>
          <w:szCs w:val="24"/>
        </w:rPr>
        <w:t xml:space="preserve"> </w:t>
      </w:r>
      <w:r w:rsidRPr="002F6260">
        <w:rPr>
          <w:rFonts w:eastAsia="Arial"/>
          <w:sz w:val="24"/>
          <w:szCs w:val="24"/>
        </w:rPr>
        <w:t xml:space="preserve">Dr Miller has </w:t>
      </w:r>
      <w:r w:rsidR="00631AFC" w:rsidRPr="002F6260">
        <w:rPr>
          <w:rFonts w:eastAsia="Arial"/>
          <w:sz w:val="24"/>
          <w:szCs w:val="24"/>
        </w:rPr>
        <w:t>examined and reported upon</w:t>
      </w:r>
      <w:r w:rsidR="007327C7" w:rsidRPr="002F6260">
        <w:rPr>
          <w:rFonts w:eastAsia="Arial"/>
          <w:sz w:val="24"/>
          <w:szCs w:val="24"/>
        </w:rPr>
        <w:t xml:space="preserve"> content of stomach for Police F</w:t>
      </w:r>
      <w:r w:rsidR="00631AFC" w:rsidRPr="002F6260">
        <w:rPr>
          <w:rFonts w:eastAsia="Arial"/>
          <w:sz w:val="24"/>
          <w:szCs w:val="24"/>
        </w:rPr>
        <w:t xml:space="preserve">orces UK wide and has been cross-examined under both UK and Scots jurisprudence in this respect on countless occasions.  However, </w:t>
      </w:r>
      <w:r w:rsidR="00FD3AC1" w:rsidRPr="002F6260">
        <w:rPr>
          <w:rFonts w:eastAsia="Arial"/>
          <w:sz w:val="24"/>
          <w:szCs w:val="24"/>
        </w:rPr>
        <w:t>each</w:t>
      </w:r>
      <w:r w:rsidR="00631AFC" w:rsidRPr="002F6260">
        <w:rPr>
          <w:rFonts w:eastAsia="Arial"/>
          <w:sz w:val="24"/>
          <w:szCs w:val="24"/>
        </w:rPr>
        <w:t xml:space="preserve"> case </w:t>
      </w:r>
      <w:r w:rsidR="00FD3AC1" w:rsidRPr="002F6260">
        <w:rPr>
          <w:rFonts w:eastAsia="Arial"/>
          <w:sz w:val="24"/>
          <w:szCs w:val="24"/>
        </w:rPr>
        <w:t xml:space="preserve">is unique, and the </w:t>
      </w:r>
      <w:r w:rsidR="00F75924" w:rsidRPr="002F6260">
        <w:rPr>
          <w:rFonts w:eastAsia="Arial"/>
          <w:sz w:val="24"/>
          <w:szCs w:val="24"/>
        </w:rPr>
        <w:t xml:space="preserve">individual </w:t>
      </w:r>
      <w:r w:rsidR="00631AFC" w:rsidRPr="002F6260">
        <w:rPr>
          <w:rFonts w:eastAsia="Arial"/>
          <w:sz w:val="24"/>
          <w:szCs w:val="24"/>
        </w:rPr>
        <w:t xml:space="preserve">circumstances must be appropriate to </w:t>
      </w:r>
      <w:r w:rsidR="00F75924" w:rsidRPr="002F6260">
        <w:rPr>
          <w:rFonts w:eastAsia="Arial"/>
          <w:sz w:val="24"/>
          <w:szCs w:val="24"/>
        </w:rPr>
        <w:t>make</w:t>
      </w:r>
      <w:r w:rsidR="00631AFC" w:rsidRPr="002F6260">
        <w:rPr>
          <w:rFonts w:eastAsia="Arial"/>
          <w:sz w:val="24"/>
          <w:szCs w:val="24"/>
        </w:rPr>
        <w:t xml:space="preserve"> thi</w:t>
      </w:r>
      <w:r w:rsidR="00F75924" w:rsidRPr="002F6260">
        <w:rPr>
          <w:rFonts w:eastAsia="Arial"/>
          <w:sz w:val="24"/>
          <w:szCs w:val="24"/>
        </w:rPr>
        <w:t>s analysis feasible</w:t>
      </w:r>
      <w:r w:rsidR="00631AFC" w:rsidRPr="002F6260">
        <w:rPr>
          <w:rFonts w:eastAsia="Arial"/>
          <w:sz w:val="24"/>
          <w:szCs w:val="24"/>
        </w:rPr>
        <w:t xml:space="preserve">, with mitigating factors such as alcohol, drugs/medication and some medical conditions affecting what conclusions may be drawn.  </w:t>
      </w:r>
      <w:r w:rsidR="00FD3AC1" w:rsidRPr="002F6260">
        <w:rPr>
          <w:rFonts w:eastAsia="Arial"/>
          <w:sz w:val="24"/>
          <w:szCs w:val="24"/>
        </w:rPr>
        <w:t xml:space="preserve">We are currently conducting research aimed at better understanding the effects of these mitigating factors on an individual’s digestive transit.  </w:t>
      </w:r>
      <w:r w:rsidR="00631AFC" w:rsidRPr="002F6260">
        <w:rPr>
          <w:rFonts w:eastAsia="Arial"/>
          <w:sz w:val="24"/>
          <w:szCs w:val="24"/>
        </w:rPr>
        <w:lastRenderedPageBreak/>
        <w:t xml:space="preserve">Recently, our </w:t>
      </w:r>
      <w:r w:rsidR="00FD3AC1" w:rsidRPr="002F6260">
        <w:rPr>
          <w:rFonts w:eastAsia="Arial"/>
          <w:sz w:val="24"/>
          <w:szCs w:val="24"/>
        </w:rPr>
        <w:t>studies have</w:t>
      </w:r>
      <w:r w:rsidR="00631AFC" w:rsidRPr="002F6260">
        <w:rPr>
          <w:rFonts w:eastAsia="Arial"/>
          <w:sz w:val="24"/>
          <w:szCs w:val="24"/>
        </w:rPr>
        <w:t xml:space="preserve"> </w:t>
      </w:r>
      <w:r w:rsidR="00FD3AC1" w:rsidRPr="002F6260">
        <w:rPr>
          <w:rFonts w:eastAsia="Arial"/>
          <w:sz w:val="24"/>
          <w:szCs w:val="24"/>
        </w:rPr>
        <w:t xml:space="preserve">also </w:t>
      </w:r>
      <w:r w:rsidR="00631AFC" w:rsidRPr="002F6260">
        <w:rPr>
          <w:rFonts w:eastAsia="Arial"/>
          <w:sz w:val="24"/>
          <w:szCs w:val="24"/>
        </w:rPr>
        <w:t>yielded good results in the identification of nutrition applied to formula milk-fed infants.</w:t>
      </w:r>
    </w:p>
    <w:p w14:paraId="2654E67C" w14:textId="77777777" w:rsidR="001913BD" w:rsidRPr="002F6260" w:rsidRDefault="004C42FE" w:rsidP="002F6260">
      <w:pPr>
        <w:pStyle w:val="ListParagraph"/>
        <w:numPr>
          <w:ilvl w:val="1"/>
          <w:numId w:val="10"/>
        </w:numPr>
        <w:spacing w:after="0" w:line="360" w:lineRule="auto"/>
        <w:ind w:left="567" w:hanging="142"/>
        <w:contextualSpacing w:val="0"/>
        <w:jc w:val="both"/>
        <w:rPr>
          <w:rFonts w:eastAsia="Arial"/>
          <w:sz w:val="24"/>
          <w:szCs w:val="24"/>
        </w:rPr>
      </w:pPr>
      <w:r w:rsidRPr="002F6260">
        <w:rPr>
          <w:rFonts w:eastAsia="Arial"/>
          <w:sz w:val="24"/>
          <w:szCs w:val="24"/>
        </w:rPr>
        <w:t xml:space="preserve">Under the correct circumstances and with appropriate underpinning knowledge, analysis of stomach content has been invaluable to suspicious death investigations on numerous occasions, helping to direct focus towards a narrower timeframe than can sometimes be achieved by more </w:t>
      </w:r>
      <w:r w:rsidR="00F75924" w:rsidRPr="002F6260">
        <w:rPr>
          <w:rFonts w:eastAsia="Arial"/>
          <w:sz w:val="24"/>
          <w:szCs w:val="24"/>
        </w:rPr>
        <w:t>standard</w:t>
      </w:r>
      <w:r w:rsidRPr="002F6260">
        <w:rPr>
          <w:rFonts w:eastAsia="Arial"/>
          <w:sz w:val="24"/>
          <w:szCs w:val="24"/>
        </w:rPr>
        <w:t xml:space="preserve"> practices.</w:t>
      </w:r>
    </w:p>
    <w:p w14:paraId="7F4D8EAE" w14:textId="7636D166" w:rsidR="001913BD" w:rsidRPr="002F6260" w:rsidRDefault="00F87B6A" w:rsidP="002F6260">
      <w:pPr>
        <w:pStyle w:val="ListParagraph"/>
        <w:numPr>
          <w:ilvl w:val="1"/>
          <w:numId w:val="10"/>
        </w:numPr>
        <w:spacing w:after="0" w:line="360" w:lineRule="auto"/>
        <w:ind w:left="567" w:hanging="142"/>
        <w:contextualSpacing w:val="0"/>
        <w:jc w:val="both"/>
        <w:rPr>
          <w:rFonts w:eastAsia="Arial"/>
          <w:sz w:val="24"/>
          <w:szCs w:val="24"/>
        </w:rPr>
      </w:pPr>
      <w:r w:rsidRPr="002F6260">
        <w:rPr>
          <w:rFonts w:eastAsia="Arial"/>
          <w:sz w:val="24"/>
          <w:szCs w:val="24"/>
        </w:rPr>
        <w:t xml:space="preserve">The </w:t>
      </w:r>
      <w:r w:rsidR="00DB518C">
        <w:rPr>
          <w:rFonts w:eastAsia="Arial"/>
          <w:sz w:val="24"/>
          <w:szCs w:val="24"/>
        </w:rPr>
        <w:t>NCA</w:t>
      </w:r>
      <w:r w:rsidRPr="002F6260">
        <w:rPr>
          <w:rFonts w:eastAsia="Arial"/>
          <w:sz w:val="24"/>
          <w:szCs w:val="24"/>
        </w:rPr>
        <w:t>, many senior detectives and some Pathologists are already supportive of forensic stomach contents analysis as a tool in criminal investigation.  However, t</w:t>
      </w:r>
      <w:r w:rsidR="00FD3AC1" w:rsidRPr="002F6260">
        <w:rPr>
          <w:rFonts w:eastAsia="Arial"/>
          <w:sz w:val="24"/>
          <w:szCs w:val="24"/>
        </w:rPr>
        <w:t xml:space="preserve">o progress stomach content analysis as a </w:t>
      </w:r>
      <w:r w:rsidR="004C42FE" w:rsidRPr="002F6260">
        <w:rPr>
          <w:rFonts w:eastAsia="Arial"/>
          <w:sz w:val="24"/>
          <w:szCs w:val="24"/>
        </w:rPr>
        <w:t xml:space="preserve">standard </w:t>
      </w:r>
      <w:r w:rsidR="00FD3AC1" w:rsidRPr="002F6260">
        <w:rPr>
          <w:rFonts w:eastAsia="Arial"/>
          <w:sz w:val="24"/>
          <w:szCs w:val="24"/>
        </w:rPr>
        <w:t xml:space="preserve">forensic tool we need </w:t>
      </w:r>
      <w:r w:rsidRPr="002F6260">
        <w:rPr>
          <w:rFonts w:eastAsia="Arial"/>
          <w:sz w:val="24"/>
          <w:szCs w:val="24"/>
        </w:rPr>
        <w:t>all</w:t>
      </w:r>
      <w:r w:rsidR="00FD3AC1" w:rsidRPr="002F6260">
        <w:rPr>
          <w:rFonts w:eastAsia="Arial"/>
          <w:sz w:val="24"/>
          <w:szCs w:val="24"/>
        </w:rPr>
        <w:t xml:space="preserve"> </w:t>
      </w:r>
      <w:r w:rsidR="00F75924" w:rsidRPr="002F6260">
        <w:rPr>
          <w:rFonts w:eastAsia="Arial"/>
          <w:sz w:val="24"/>
          <w:szCs w:val="24"/>
        </w:rPr>
        <w:t xml:space="preserve">the </w:t>
      </w:r>
      <w:r w:rsidRPr="002F6260">
        <w:rPr>
          <w:rFonts w:eastAsia="Arial"/>
          <w:sz w:val="24"/>
          <w:szCs w:val="24"/>
        </w:rPr>
        <w:t>P</w:t>
      </w:r>
      <w:r w:rsidR="00FD3AC1" w:rsidRPr="002F6260">
        <w:rPr>
          <w:rFonts w:eastAsia="Arial"/>
          <w:sz w:val="24"/>
          <w:szCs w:val="24"/>
        </w:rPr>
        <w:t>athologists</w:t>
      </w:r>
      <w:r w:rsidRPr="002F6260">
        <w:rPr>
          <w:rFonts w:eastAsia="Arial"/>
          <w:sz w:val="24"/>
          <w:szCs w:val="24"/>
        </w:rPr>
        <w:t xml:space="preserve"> to get behind this</w:t>
      </w:r>
      <w:r w:rsidR="004C42FE" w:rsidRPr="002F6260">
        <w:rPr>
          <w:rFonts w:eastAsia="Arial"/>
          <w:sz w:val="24"/>
          <w:szCs w:val="24"/>
        </w:rPr>
        <w:t>; that in turn is reliant upon</w:t>
      </w:r>
      <w:r w:rsidRPr="002F6260">
        <w:rPr>
          <w:rFonts w:eastAsia="Arial"/>
          <w:sz w:val="24"/>
          <w:szCs w:val="24"/>
        </w:rPr>
        <w:t xml:space="preserve"> the backing of </w:t>
      </w:r>
      <w:r w:rsidR="00FD3AC1" w:rsidRPr="002F6260">
        <w:rPr>
          <w:rFonts w:eastAsia="Arial"/>
          <w:sz w:val="24"/>
          <w:szCs w:val="24"/>
        </w:rPr>
        <w:t xml:space="preserve">the Home Office and especially the </w:t>
      </w:r>
      <w:r w:rsidR="004C42FE" w:rsidRPr="002F6260">
        <w:rPr>
          <w:rFonts w:eastAsia="Arial"/>
          <w:sz w:val="24"/>
          <w:szCs w:val="24"/>
        </w:rPr>
        <w:t xml:space="preserve">Forensic </w:t>
      </w:r>
      <w:r w:rsidR="00FD3AC1" w:rsidRPr="002F6260">
        <w:rPr>
          <w:rFonts w:eastAsia="Arial"/>
          <w:sz w:val="24"/>
          <w:szCs w:val="24"/>
        </w:rPr>
        <w:t xml:space="preserve">Regulator.  Many state registered </w:t>
      </w:r>
      <w:r w:rsidRPr="002F6260">
        <w:rPr>
          <w:rFonts w:eastAsia="Arial"/>
          <w:sz w:val="24"/>
          <w:szCs w:val="24"/>
        </w:rPr>
        <w:t>P</w:t>
      </w:r>
      <w:r w:rsidR="00FD3AC1" w:rsidRPr="002F6260">
        <w:rPr>
          <w:rFonts w:eastAsia="Arial"/>
          <w:sz w:val="24"/>
          <w:szCs w:val="24"/>
        </w:rPr>
        <w:t>athologists are innately suspicious of stomach contents analysis</w:t>
      </w:r>
      <w:r w:rsidR="008218E4" w:rsidRPr="002F6260">
        <w:rPr>
          <w:rFonts w:eastAsia="Arial"/>
          <w:sz w:val="24"/>
          <w:szCs w:val="24"/>
        </w:rPr>
        <w:t xml:space="preserve"> as a forensic tool</w:t>
      </w:r>
      <w:r w:rsidR="00FD3AC1" w:rsidRPr="002F6260">
        <w:rPr>
          <w:rFonts w:eastAsia="Arial"/>
          <w:sz w:val="24"/>
          <w:szCs w:val="24"/>
        </w:rPr>
        <w:t xml:space="preserve">, </w:t>
      </w:r>
      <w:r w:rsidR="008218E4" w:rsidRPr="002F6260">
        <w:rPr>
          <w:rFonts w:eastAsia="Arial"/>
          <w:sz w:val="24"/>
          <w:szCs w:val="24"/>
        </w:rPr>
        <w:t>as they do not consider that all variables are adequately accounted for in the interpretation process.  However, this</w:t>
      </w:r>
      <w:r w:rsidR="00FD3AC1" w:rsidRPr="002F6260">
        <w:rPr>
          <w:rFonts w:eastAsia="Arial"/>
          <w:sz w:val="24"/>
          <w:szCs w:val="24"/>
        </w:rPr>
        <w:t xml:space="preserve"> is a </w:t>
      </w:r>
      <w:r w:rsidR="008218E4" w:rsidRPr="002F6260">
        <w:rPr>
          <w:rFonts w:eastAsia="Arial"/>
          <w:sz w:val="24"/>
          <w:szCs w:val="24"/>
        </w:rPr>
        <w:t xml:space="preserve">forensic </w:t>
      </w:r>
      <w:r w:rsidR="00FD3AC1" w:rsidRPr="002F6260">
        <w:rPr>
          <w:rFonts w:eastAsia="Arial"/>
          <w:sz w:val="24"/>
          <w:szCs w:val="24"/>
        </w:rPr>
        <w:t>tool like any other</w:t>
      </w:r>
      <w:r w:rsidR="008643EB" w:rsidRPr="002F6260">
        <w:rPr>
          <w:rFonts w:eastAsia="Arial"/>
          <w:sz w:val="24"/>
          <w:szCs w:val="24"/>
        </w:rPr>
        <w:t xml:space="preserve"> and lack of understanding </w:t>
      </w:r>
      <w:r w:rsidR="008218E4" w:rsidRPr="002F6260">
        <w:rPr>
          <w:rFonts w:eastAsia="Arial"/>
          <w:sz w:val="24"/>
          <w:szCs w:val="24"/>
        </w:rPr>
        <w:t xml:space="preserve">of the processes </w:t>
      </w:r>
      <w:r w:rsidR="008643EB" w:rsidRPr="002F6260">
        <w:rPr>
          <w:rFonts w:eastAsia="Arial"/>
          <w:sz w:val="24"/>
          <w:szCs w:val="24"/>
        </w:rPr>
        <w:t xml:space="preserve">and trust </w:t>
      </w:r>
      <w:r w:rsidR="008218E4" w:rsidRPr="002F6260">
        <w:rPr>
          <w:rFonts w:eastAsia="Arial"/>
          <w:sz w:val="24"/>
          <w:szCs w:val="24"/>
        </w:rPr>
        <w:t xml:space="preserve">in the operators </w:t>
      </w:r>
      <w:r w:rsidR="008643EB" w:rsidRPr="002F6260">
        <w:rPr>
          <w:rFonts w:eastAsia="Arial"/>
          <w:sz w:val="24"/>
          <w:szCs w:val="24"/>
        </w:rPr>
        <w:t>is behind the</w:t>
      </w:r>
      <w:r w:rsidR="004C42FE" w:rsidRPr="002F6260">
        <w:rPr>
          <w:rFonts w:eastAsia="Arial"/>
          <w:sz w:val="24"/>
          <w:szCs w:val="24"/>
        </w:rPr>
        <w:t>ir</w:t>
      </w:r>
      <w:r w:rsidR="008643EB" w:rsidRPr="002F6260">
        <w:rPr>
          <w:rFonts w:eastAsia="Arial"/>
          <w:sz w:val="24"/>
          <w:szCs w:val="24"/>
        </w:rPr>
        <w:t xml:space="preserve"> reluctance to support </w:t>
      </w:r>
      <w:r w:rsidR="004C42FE" w:rsidRPr="002F6260">
        <w:rPr>
          <w:rFonts w:eastAsia="Arial"/>
          <w:sz w:val="24"/>
          <w:szCs w:val="24"/>
        </w:rPr>
        <w:t xml:space="preserve">it. Discussions and possibly a white paper including case examples would answer questions and confirm the validity of the science. </w:t>
      </w:r>
    </w:p>
    <w:p w14:paraId="6974205D" w14:textId="77777777" w:rsidR="001913BD" w:rsidRPr="002F6260" w:rsidRDefault="00F87B6A" w:rsidP="002F6260">
      <w:pPr>
        <w:pStyle w:val="ListParagraph"/>
        <w:numPr>
          <w:ilvl w:val="1"/>
          <w:numId w:val="10"/>
        </w:numPr>
        <w:spacing w:after="0" w:line="360" w:lineRule="auto"/>
        <w:ind w:left="567" w:hanging="142"/>
        <w:contextualSpacing w:val="0"/>
        <w:jc w:val="both"/>
        <w:rPr>
          <w:rFonts w:eastAsia="Arial"/>
          <w:sz w:val="24"/>
          <w:szCs w:val="24"/>
        </w:rPr>
      </w:pPr>
      <w:r w:rsidRPr="002F6260">
        <w:rPr>
          <w:rFonts w:eastAsia="Arial"/>
          <w:sz w:val="24"/>
          <w:szCs w:val="24"/>
        </w:rPr>
        <w:t>Further, focused</w:t>
      </w:r>
      <w:r w:rsidR="00E56E4D" w:rsidRPr="002F6260">
        <w:rPr>
          <w:rFonts w:eastAsia="Arial"/>
          <w:sz w:val="24"/>
          <w:szCs w:val="24"/>
        </w:rPr>
        <w:t xml:space="preserve"> research is </w:t>
      </w:r>
      <w:r w:rsidR="004C42FE" w:rsidRPr="002F6260">
        <w:rPr>
          <w:rFonts w:eastAsia="Arial"/>
          <w:sz w:val="24"/>
          <w:szCs w:val="24"/>
        </w:rPr>
        <w:t xml:space="preserve">also </w:t>
      </w:r>
      <w:r w:rsidRPr="002F6260">
        <w:rPr>
          <w:rFonts w:eastAsia="Arial"/>
          <w:sz w:val="24"/>
          <w:szCs w:val="24"/>
        </w:rPr>
        <w:t>fundamental</w:t>
      </w:r>
      <w:r w:rsidR="00E56E4D" w:rsidRPr="002F6260">
        <w:rPr>
          <w:rFonts w:eastAsia="Arial"/>
          <w:sz w:val="24"/>
          <w:szCs w:val="24"/>
        </w:rPr>
        <w:t xml:space="preserve"> </w:t>
      </w:r>
      <w:r w:rsidRPr="002F6260">
        <w:rPr>
          <w:rFonts w:eastAsia="Arial"/>
          <w:sz w:val="24"/>
          <w:szCs w:val="24"/>
        </w:rPr>
        <w:t xml:space="preserve">to the acceptance of stomach contents analysis </w:t>
      </w:r>
      <w:r w:rsidR="008643EB" w:rsidRPr="002F6260">
        <w:rPr>
          <w:rFonts w:eastAsia="Arial"/>
          <w:sz w:val="24"/>
          <w:szCs w:val="24"/>
        </w:rPr>
        <w:t xml:space="preserve">into the </w:t>
      </w:r>
      <w:r w:rsidR="004C42FE" w:rsidRPr="002F6260">
        <w:rPr>
          <w:rFonts w:eastAsia="Arial"/>
          <w:sz w:val="24"/>
          <w:szCs w:val="24"/>
        </w:rPr>
        <w:t>mainstream</w:t>
      </w:r>
      <w:r w:rsidR="008643EB" w:rsidRPr="002F6260">
        <w:rPr>
          <w:rFonts w:eastAsia="Arial"/>
          <w:sz w:val="24"/>
          <w:szCs w:val="24"/>
        </w:rPr>
        <w:t xml:space="preserve"> forensic </w:t>
      </w:r>
      <w:r w:rsidR="004C42FE" w:rsidRPr="002F6260">
        <w:rPr>
          <w:rFonts w:eastAsia="Arial"/>
          <w:sz w:val="24"/>
          <w:szCs w:val="24"/>
        </w:rPr>
        <w:t>‘</w:t>
      </w:r>
      <w:r w:rsidR="008643EB" w:rsidRPr="002F6260">
        <w:rPr>
          <w:rFonts w:eastAsia="Arial"/>
          <w:sz w:val="24"/>
          <w:szCs w:val="24"/>
        </w:rPr>
        <w:t>toolkit</w:t>
      </w:r>
      <w:r w:rsidR="004C42FE" w:rsidRPr="002F6260">
        <w:rPr>
          <w:rFonts w:eastAsia="Arial"/>
          <w:sz w:val="24"/>
          <w:szCs w:val="24"/>
        </w:rPr>
        <w:t>’</w:t>
      </w:r>
      <w:r w:rsidR="008643EB" w:rsidRPr="002F6260">
        <w:rPr>
          <w:rFonts w:eastAsia="Arial"/>
          <w:sz w:val="24"/>
          <w:szCs w:val="24"/>
        </w:rPr>
        <w:t xml:space="preserve">.  </w:t>
      </w:r>
      <w:r w:rsidR="00E56E4D" w:rsidRPr="002F6260">
        <w:rPr>
          <w:rFonts w:eastAsia="Arial"/>
          <w:sz w:val="24"/>
          <w:szCs w:val="24"/>
        </w:rPr>
        <w:t xml:space="preserve">It is only by better understanding the inter-relationship between the various mitigating factors </w:t>
      </w:r>
      <w:r w:rsidR="008643EB" w:rsidRPr="002F6260">
        <w:rPr>
          <w:rFonts w:eastAsia="Arial"/>
          <w:sz w:val="24"/>
          <w:szCs w:val="24"/>
        </w:rPr>
        <w:t xml:space="preserve">affecting digestive transit in adults and children </w:t>
      </w:r>
      <w:r w:rsidR="00E56E4D" w:rsidRPr="002F6260">
        <w:rPr>
          <w:rFonts w:eastAsia="Arial"/>
          <w:sz w:val="24"/>
          <w:szCs w:val="24"/>
        </w:rPr>
        <w:t xml:space="preserve">that we can hope to extend the applicability of stomach contents analysis </w:t>
      </w:r>
      <w:r w:rsidR="004C42FE" w:rsidRPr="002F6260">
        <w:rPr>
          <w:rFonts w:eastAsia="Arial"/>
          <w:sz w:val="24"/>
          <w:szCs w:val="24"/>
        </w:rPr>
        <w:t>within</w:t>
      </w:r>
      <w:r w:rsidR="00E56E4D" w:rsidRPr="002F6260">
        <w:rPr>
          <w:rFonts w:eastAsia="Arial"/>
          <w:sz w:val="24"/>
          <w:szCs w:val="24"/>
        </w:rPr>
        <w:t xml:space="preserve"> forensic </w:t>
      </w:r>
      <w:r w:rsidR="004C42FE" w:rsidRPr="002F6260">
        <w:rPr>
          <w:rFonts w:eastAsia="Arial"/>
          <w:sz w:val="24"/>
          <w:szCs w:val="24"/>
        </w:rPr>
        <w:t>science</w:t>
      </w:r>
      <w:r w:rsidR="00E56E4D" w:rsidRPr="002F6260">
        <w:rPr>
          <w:rFonts w:eastAsia="Arial"/>
          <w:sz w:val="24"/>
          <w:szCs w:val="24"/>
        </w:rPr>
        <w:t xml:space="preserve">.  </w:t>
      </w:r>
      <w:r w:rsidR="004C42FE" w:rsidRPr="002F6260">
        <w:rPr>
          <w:rFonts w:eastAsia="Arial"/>
          <w:sz w:val="24"/>
          <w:szCs w:val="24"/>
        </w:rPr>
        <w:t>This requires a combination of background knowledge, such as is present at NTU, and funding to support the research.  This funding would be far easier to obtain with the support and backing of the Regulator.</w:t>
      </w:r>
    </w:p>
    <w:p w14:paraId="58996D3B" w14:textId="03826854" w:rsidR="001913BD" w:rsidRPr="002F6260" w:rsidRDefault="00F75924" w:rsidP="002F6260">
      <w:pPr>
        <w:pStyle w:val="ListParagraph"/>
        <w:numPr>
          <w:ilvl w:val="1"/>
          <w:numId w:val="10"/>
        </w:numPr>
        <w:spacing w:after="0" w:line="360" w:lineRule="auto"/>
        <w:ind w:left="567" w:hanging="142"/>
        <w:contextualSpacing w:val="0"/>
        <w:jc w:val="both"/>
        <w:rPr>
          <w:rFonts w:eastAsia="Arial"/>
          <w:sz w:val="24"/>
          <w:szCs w:val="24"/>
        </w:rPr>
      </w:pPr>
      <w:r w:rsidRPr="002F6260">
        <w:rPr>
          <w:rFonts w:eastAsia="Arial"/>
          <w:sz w:val="24"/>
          <w:szCs w:val="24"/>
        </w:rPr>
        <w:t xml:space="preserve">Several forces request stomach contents analysis on a regular basis, </w:t>
      </w:r>
      <w:r w:rsidR="008218E4" w:rsidRPr="002F6260">
        <w:rPr>
          <w:rFonts w:eastAsia="Arial"/>
          <w:sz w:val="24"/>
          <w:szCs w:val="24"/>
        </w:rPr>
        <w:t xml:space="preserve">including  West Midlands, Police Scotland, Avon and Somerset, Devon and Cornwall, Hampshire, London Metropolitan and Thames Valley, with around 20-25 cases requested per annum  from these forces.  </w:t>
      </w:r>
      <w:r w:rsidR="006E7717" w:rsidRPr="002F6260">
        <w:rPr>
          <w:rFonts w:eastAsia="Arial"/>
          <w:sz w:val="24"/>
          <w:szCs w:val="24"/>
        </w:rPr>
        <w:t xml:space="preserve">Many of the cases are </w:t>
      </w:r>
      <w:r w:rsidR="00BB60AD" w:rsidRPr="002F6260">
        <w:rPr>
          <w:rFonts w:eastAsia="Arial"/>
          <w:sz w:val="24"/>
          <w:szCs w:val="24"/>
        </w:rPr>
        <w:t xml:space="preserve">tried </w:t>
      </w:r>
      <w:r w:rsidR="007327C7" w:rsidRPr="002F6260">
        <w:rPr>
          <w:rFonts w:eastAsia="Arial"/>
          <w:sz w:val="24"/>
          <w:szCs w:val="24"/>
        </w:rPr>
        <w:t>subsequently</w:t>
      </w:r>
      <w:r w:rsidR="006E7717" w:rsidRPr="002F6260">
        <w:rPr>
          <w:rFonts w:eastAsia="Arial"/>
          <w:sz w:val="24"/>
          <w:szCs w:val="24"/>
        </w:rPr>
        <w:t xml:space="preserve"> in Crown or High Court.  </w:t>
      </w:r>
      <w:r w:rsidR="008218E4" w:rsidRPr="002F6260">
        <w:rPr>
          <w:rFonts w:eastAsia="Arial"/>
          <w:sz w:val="24"/>
          <w:szCs w:val="24"/>
        </w:rPr>
        <w:t>H</w:t>
      </w:r>
      <w:r w:rsidR="006E7717" w:rsidRPr="002F6260">
        <w:rPr>
          <w:rFonts w:eastAsia="Arial"/>
          <w:sz w:val="24"/>
          <w:szCs w:val="24"/>
        </w:rPr>
        <w:t>owever,</w:t>
      </w:r>
      <w:r w:rsidR="008218E4" w:rsidRPr="002F6260">
        <w:rPr>
          <w:rFonts w:eastAsia="Arial"/>
          <w:sz w:val="24"/>
          <w:szCs w:val="24"/>
        </w:rPr>
        <w:t xml:space="preserve"> </w:t>
      </w:r>
      <w:r w:rsidR="006E7717" w:rsidRPr="002F6260">
        <w:rPr>
          <w:rFonts w:eastAsia="Arial"/>
          <w:sz w:val="24"/>
          <w:szCs w:val="24"/>
        </w:rPr>
        <w:t>there is not universal understanding of the applicability of this forensic tool;</w:t>
      </w:r>
      <w:r w:rsidRPr="002F6260">
        <w:rPr>
          <w:rFonts w:eastAsia="Arial"/>
          <w:sz w:val="24"/>
          <w:szCs w:val="24"/>
        </w:rPr>
        <w:t xml:space="preserve"> </w:t>
      </w:r>
      <w:r w:rsidR="006E7717" w:rsidRPr="002F6260">
        <w:rPr>
          <w:rFonts w:eastAsia="Arial"/>
          <w:sz w:val="24"/>
          <w:szCs w:val="24"/>
        </w:rPr>
        <w:t>there needs to be far wider awareness of the capabilities of it and what information it can provide for the enquiry.  This is best achieved</w:t>
      </w:r>
      <w:r w:rsidRPr="002F6260">
        <w:rPr>
          <w:rFonts w:eastAsia="Arial"/>
          <w:sz w:val="24"/>
          <w:szCs w:val="24"/>
        </w:rPr>
        <w:t xml:space="preserve"> by a combination of dissemination at SIO conferences and </w:t>
      </w:r>
      <w:r w:rsidRPr="002F6260">
        <w:rPr>
          <w:rFonts w:eastAsia="Arial"/>
          <w:sz w:val="24"/>
          <w:szCs w:val="24"/>
        </w:rPr>
        <w:lastRenderedPageBreak/>
        <w:t xml:space="preserve">more widespread NCA recommendation.  Again, this would benefit from </w:t>
      </w:r>
      <w:r w:rsidR="00C65C84" w:rsidRPr="002F6260">
        <w:rPr>
          <w:rFonts w:eastAsia="Arial"/>
          <w:sz w:val="24"/>
          <w:szCs w:val="24"/>
        </w:rPr>
        <w:t xml:space="preserve">evidence of support by the </w:t>
      </w:r>
      <w:r w:rsidRPr="002F6260">
        <w:rPr>
          <w:rFonts w:eastAsia="Arial"/>
          <w:sz w:val="24"/>
          <w:szCs w:val="24"/>
        </w:rPr>
        <w:t xml:space="preserve">Home Office </w:t>
      </w:r>
      <w:r w:rsidR="00C65C84" w:rsidRPr="002F6260">
        <w:rPr>
          <w:rFonts w:eastAsia="Arial"/>
          <w:sz w:val="24"/>
          <w:szCs w:val="24"/>
        </w:rPr>
        <w:t>and especially the Regulator.</w:t>
      </w:r>
    </w:p>
    <w:p w14:paraId="55C0737C" w14:textId="77777777" w:rsidR="008267E2" w:rsidRPr="002F6260" w:rsidRDefault="008643EB" w:rsidP="002F6260">
      <w:pPr>
        <w:pStyle w:val="ListParagraph"/>
        <w:numPr>
          <w:ilvl w:val="1"/>
          <w:numId w:val="10"/>
        </w:numPr>
        <w:spacing w:after="0" w:line="360" w:lineRule="auto"/>
        <w:ind w:left="567" w:hanging="142"/>
        <w:contextualSpacing w:val="0"/>
        <w:jc w:val="both"/>
        <w:rPr>
          <w:rFonts w:eastAsia="Arial"/>
          <w:sz w:val="24"/>
          <w:szCs w:val="24"/>
        </w:rPr>
      </w:pPr>
      <w:r w:rsidRPr="002F6260">
        <w:rPr>
          <w:rFonts w:eastAsia="Arial"/>
          <w:sz w:val="24"/>
          <w:szCs w:val="24"/>
        </w:rPr>
        <w:t>Ultimately, there is also a need for education to train the next generation of scientists with the correct blend of medical and scientific skills to undertake this practice.</w:t>
      </w:r>
      <w:r w:rsidR="004C42FE" w:rsidRPr="002F6260">
        <w:rPr>
          <w:rFonts w:eastAsia="Arial"/>
          <w:sz w:val="24"/>
          <w:szCs w:val="24"/>
        </w:rPr>
        <w:t xml:space="preserve">  </w:t>
      </w:r>
      <w:r w:rsidR="00B3520F" w:rsidRPr="002F6260">
        <w:rPr>
          <w:rFonts w:eastAsia="Arial"/>
          <w:sz w:val="24"/>
          <w:szCs w:val="24"/>
        </w:rPr>
        <w:t>This would be achieved as a consequ</w:t>
      </w:r>
      <w:r w:rsidR="00F75924" w:rsidRPr="002F6260">
        <w:rPr>
          <w:rFonts w:eastAsia="Arial"/>
          <w:sz w:val="24"/>
          <w:szCs w:val="24"/>
        </w:rPr>
        <w:t>e</w:t>
      </w:r>
      <w:r w:rsidR="00B3520F" w:rsidRPr="002F6260">
        <w:rPr>
          <w:rFonts w:eastAsia="Arial"/>
          <w:sz w:val="24"/>
          <w:szCs w:val="24"/>
        </w:rPr>
        <w:t>nce of research includ</w:t>
      </w:r>
      <w:r w:rsidR="008267E2" w:rsidRPr="002F6260">
        <w:rPr>
          <w:rFonts w:eastAsia="Arial"/>
          <w:sz w:val="24"/>
          <w:szCs w:val="24"/>
        </w:rPr>
        <w:t>ing funding of PhD studentships.</w:t>
      </w:r>
    </w:p>
    <w:p w14:paraId="582B1D66" w14:textId="77777777" w:rsidR="008267E2" w:rsidRDefault="008643EB" w:rsidP="002F6260">
      <w:pPr>
        <w:pStyle w:val="ListParagraph"/>
        <w:numPr>
          <w:ilvl w:val="1"/>
          <w:numId w:val="10"/>
        </w:numPr>
        <w:spacing w:after="0" w:line="360" w:lineRule="auto"/>
        <w:ind w:left="567" w:hanging="142"/>
        <w:contextualSpacing w:val="0"/>
        <w:jc w:val="both"/>
        <w:rPr>
          <w:rFonts w:eastAsia="Arial"/>
          <w:sz w:val="24"/>
          <w:szCs w:val="24"/>
        </w:rPr>
      </w:pPr>
      <w:r w:rsidRPr="002F6260">
        <w:rPr>
          <w:rFonts w:eastAsia="Arial"/>
          <w:sz w:val="24"/>
          <w:szCs w:val="24"/>
        </w:rPr>
        <w:t xml:space="preserve">Dr Jennifer Miller is happy to speak to committee members confidentially about aspects or our research that cannot be made open to the public; </w:t>
      </w:r>
      <w:r w:rsidR="00B3520F" w:rsidRPr="002F6260">
        <w:rPr>
          <w:rFonts w:eastAsia="Arial"/>
          <w:sz w:val="24"/>
          <w:szCs w:val="24"/>
        </w:rPr>
        <w:t>s</w:t>
      </w:r>
      <w:r w:rsidRPr="002F6260">
        <w:rPr>
          <w:rFonts w:eastAsia="Arial"/>
          <w:sz w:val="24"/>
          <w:szCs w:val="24"/>
        </w:rPr>
        <w:t>he is also happy to present oral evidence to the committee o</w:t>
      </w:r>
      <w:r w:rsidR="008267E2" w:rsidRPr="002F6260">
        <w:rPr>
          <w:rFonts w:eastAsia="Arial"/>
          <w:sz w:val="24"/>
          <w:szCs w:val="24"/>
        </w:rPr>
        <w:t>r individual co</w:t>
      </w:r>
      <w:r w:rsidR="008267E2" w:rsidRPr="008267E2">
        <w:rPr>
          <w:rFonts w:eastAsia="Arial"/>
          <w:sz w:val="24"/>
          <w:szCs w:val="24"/>
        </w:rPr>
        <w:t>mmittee members</w:t>
      </w:r>
    </w:p>
    <w:p w14:paraId="0913C35A" w14:textId="77777777" w:rsidR="008267E2" w:rsidRDefault="008267E2" w:rsidP="002F6260">
      <w:pPr>
        <w:pStyle w:val="ListParagraph"/>
        <w:spacing w:after="0" w:line="360" w:lineRule="auto"/>
        <w:ind w:left="567"/>
        <w:contextualSpacing w:val="0"/>
        <w:jc w:val="both"/>
        <w:rPr>
          <w:rFonts w:eastAsia="Arial"/>
          <w:sz w:val="24"/>
          <w:szCs w:val="24"/>
        </w:rPr>
      </w:pPr>
    </w:p>
    <w:p w14:paraId="5639F962" w14:textId="77777777" w:rsidR="008267E2" w:rsidRPr="008267E2" w:rsidRDefault="00B3520F" w:rsidP="002F6260">
      <w:pPr>
        <w:spacing w:after="0" w:line="360" w:lineRule="auto"/>
        <w:jc w:val="both"/>
        <w:rPr>
          <w:rFonts w:eastAsia="Arial"/>
          <w:sz w:val="24"/>
          <w:szCs w:val="24"/>
        </w:rPr>
      </w:pPr>
      <w:r w:rsidRPr="008267E2">
        <w:rPr>
          <w:rFonts w:eastAsia="Arial"/>
          <w:sz w:val="24"/>
          <w:szCs w:val="24"/>
        </w:rPr>
        <w:t>Dr Jennifer Miller</w:t>
      </w:r>
      <w:r w:rsidR="008643EB" w:rsidRPr="008267E2">
        <w:rPr>
          <w:rFonts w:eastAsia="Arial"/>
          <w:sz w:val="24"/>
          <w:szCs w:val="24"/>
        </w:rPr>
        <w:t xml:space="preserve">, Nottingham </w:t>
      </w:r>
      <w:r w:rsidRPr="008267E2">
        <w:rPr>
          <w:rFonts w:eastAsia="Arial"/>
          <w:sz w:val="24"/>
          <w:szCs w:val="24"/>
        </w:rPr>
        <w:t>Trent University School of Science and Technology (</w:t>
      </w:r>
      <w:r w:rsidR="008267E2" w:rsidRPr="008267E2">
        <w:rPr>
          <w:rFonts w:eastAsia="Arial"/>
          <w:sz w:val="24"/>
          <w:szCs w:val="24"/>
        </w:rPr>
        <w:t>Depa</w:t>
      </w:r>
      <w:r w:rsidR="008267E2">
        <w:rPr>
          <w:rFonts w:eastAsia="Arial"/>
          <w:sz w:val="24"/>
          <w:szCs w:val="24"/>
        </w:rPr>
        <w:t>rtment</w:t>
      </w:r>
      <w:r w:rsidRPr="008267E2">
        <w:rPr>
          <w:rFonts w:eastAsia="Arial"/>
          <w:sz w:val="24"/>
          <w:szCs w:val="24"/>
        </w:rPr>
        <w:t xml:space="preserve"> of Chemistry &amp; Forensics).  Senior lecturer in Forensic Science; Forensic practitioner since 1994.</w:t>
      </w:r>
      <w:r w:rsidR="008267E2" w:rsidRPr="008267E2">
        <w:rPr>
          <w:rFonts w:eastAsia="Arial"/>
          <w:sz w:val="24"/>
          <w:szCs w:val="24"/>
        </w:rPr>
        <w:t xml:space="preserve"> </w:t>
      </w:r>
    </w:p>
    <w:p w14:paraId="09210C75" w14:textId="77777777" w:rsidR="008643EB" w:rsidRPr="008267E2" w:rsidRDefault="00C44814" w:rsidP="002F6260">
      <w:pPr>
        <w:spacing w:after="0" w:line="360" w:lineRule="auto"/>
        <w:jc w:val="both"/>
        <w:rPr>
          <w:rFonts w:eastAsia="Arial"/>
          <w:sz w:val="24"/>
          <w:szCs w:val="24"/>
        </w:rPr>
      </w:pPr>
      <w:hyperlink r:id="rId9" w:history="1">
        <w:r w:rsidR="00B3520F" w:rsidRPr="008267E2">
          <w:rPr>
            <w:rStyle w:val="Hyperlink"/>
            <w:rFonts w:eastAsia="Arial"/>
            <w:sz w:val="24"/>
            <w:szCs w:val="24"/>
          </w:rPr>
          <w:t>jennifer.miller@ntu.ac.uk</w:t>
        </w:r>
      </w:hyperlink>
      <w:r w:rsidR="008643EB" w:rsidRPr="008267E2">
        <w:rPr>
          <w:rFonts w:eastAsia="Arial"/>
          <w:sz w:val="24"/>
          <w:szCs w:val="24"/>
        </w:rPr>
        <w:t xml:space="preserve"> 0115 848 </w:t>
      </w:r>
      <w:r w:rsidR="00B3520F" w:rsidRPr="008267E2">
        <w:rPr>
          <w:rFonts w:eastAsia="Arial"/>
          <w:sz w:val="24"/>
          <w:szCs w:val="24"/>
        </w:rPr>
        <w:t>3877</w:t>
      </w:r>
    </w:p>
    <w:p w14:paraId="53E78E8A" w14:textId="77777777" w:rsidR="008643EB" w:rsidRPr="008267E2" w:rsidRDefault="008643EB" w:rsidP="002F6260">
      <w:pPr>
        <w:pStyle w:val="ListParagraph"/>
        <w:spacing w:after="0" w:line="360" w:lineRule="auto"/>
        <w:ind w:left="142" w:hanging="142"/>
        <w:jc w:val="both"/>
        <w:rPr>
          <w:rFonts w:eastAsia="Arial"/>
          <w:sz w:val="24"/>
          <w:szCs w:val="24"/>
        </w:rPr>
      </w:pPr>
    </w:p>
    <w:p w14:paraId="75541A26" w14:textId="77777777" w:rsidR="008643EB" w:rsidRPr="008267E2" w:rsidRDefault="008643EB" w:rsidP="002F6260">
      <w:pPr>
        <w:spacing w:line="360" w:lineRule="auto"/>
        <w:ind w:left="142" w:hanging="142"/>
        <w:jc w:val="both"/>
        <w:rPr>
          <w:rFonts w:eastAsia="Arial"/>
          <w:b/>
          <w:sz w:val="24"/>
          <w:szCs w:val="24"/>
        </w:rPr>
      </w:pPr>
      <w:r w:rsidRPr="008267E2">
        <w:rPr>
          <w:rFonts w:eastAsia="Arial"/>
          <w:b/>
          <w:sz w:val="24"/>
          <w:szCs w:val="24"/>
        </w:rPr>
        <w:t xml:space="preserve">Current research collaborators </w:t>
      </w:r>
    </w:p>
    <w:p w14:paraId="367C11BA" w14:textId="77777777" w:rsidR="008643EB" w:rsidRPr="008267E2" w:rsidRDefault="008643EB" w:rsidP="002F6260">
      <w:pPr>
        <w:pStyle w:val="ListParagraph"/>
        <w:spacing w:line="360" w:lineRule="auto"/>
        <w:ind w:left="142" w:hanging="142"/>
        <w:jc w:val="both"/>
        <w:rPr>
          <w:rFonts w:eastAsia="Arial"/>
          <w:sz w:val="24"/>
          <w:szCs w:val="24"/>
        </w:rPr>
      </w:pPr>
      <w:r w:rsidRPr="008267E2">
        <w:rPr>
          <w:rFonts w:eastAsia="Arial"/>
          <w:sz w:val="24"/>
          <w:szCs w:val="24"/>
        </w:rPr>
        <w:t xml:space="preserve">Dr </w:t>
      </w:r>
      <w:r w:rsidR="00B3520F" w:rsidRPr="008267E2">
        <w:rPr>
          <w:rFonts w:eastAsia="Arial"/>
          <w:sz w:val="24"/>
          <w:szCs w:val="24"/>
        </w:rPr>
        <w:t>Nitin Seetohul</w:t>
      </w:r>
      <w:r w:rsidRPr="008267E2">
        <w:rPr>
          <w:rFonts w:eastAsia="Arial"/>
          <w:sz w:val="24"/>
          <w:szCs w:val="24"/>
        </w:rPr>
        <w:t xml:space="preserve">, </w:t>
      </w:r>
      <w:r w:rsidR="00B3520F" w:rsidRPr="008267E2">
        <w:rPr>
          <w:rFonts w:eastAsia="Arial"/>
          <w:sz w:val="24"/>
          <w:szCs w:val="24"/>
        </w:rPr>
        <w:t xml:space="preserve">Senior </w:t>
      </w:r>
      <w:r w:rsidRPr="008267E2">
        <w:rPr>
          <w:rFonts w:eastAsia="Arial"/>
          <w:sz w:val="24"/>
          <w:szCs w:val="24"/>
        </w:rPr>
        <w:t xml:space="preserve">Lecturer in </w:t>
      </w:r>
      <w:r w:rsidR="00B3520F" w:rsidRPr="008267E2">
        <w:rPr>
          <w:rFonts w:eastAsia="Arial"/>
          <w:sz w:val="24"/>
          <w:szCs w:val="24"/>
        </w:rPr>
        <w:t>Forensic Chemistry NTU, previously practitioner forensic toxicologist.</w:t>
      </w:r>
    </w:p>
    <w:p w14:paraId="50C0D207" w14:textId="7F1BD94D" w:rsidR="00B3520F" w:rsidRDefault="00B3520F" w:rsidP="002F6260">
      <w:pPr>
        <w:pStyle w:val="ListParagraph"/>
        <w:spacing w:line="360" w:lineRule="auto"/>
        <w:ind w:left="142" w:hanging="142"/>
        <w:jc w:val="both"/>
        <w:rPr>
          <w:rFonts w:eastAsia="Arial"/>
          <w:sz w:val="24"/>
          <w:szCs w:val="24"/>
        </w:rPr>
      </w:pPr>
      <w:r w:rsidRPr="008267E2">
        <w:rPr>
          <w:rFonts w:eastAsia="Arial"/>
          <w:sz w:val="24"/>
          <w:szCs w:val="24"/>
        </w:rPr>
        <w:t>Dr Rob Morris, Research fellow, Physics (with forensic application) and MRI specialist</w:t>
      </w:r>
    </w:p>
    <w:p w14:paraId="6A6C6D7C" w14:textId="086F189E" w:rsidR="00BB60AD" w:rsidRDefault="00BB60AD" w:rsidP="002F6260">
      <w:pPr>
        <w:pStyle w:val="ListParagraph"/>
        <w:spacing w:line="360" w:lineRule="auto"/>
        <w:ind w:left="142" w:hanging="142"/>
        <w:jc w:val="both"/>
        <w:rPr>
          <w:rFonts w:eastAsia="Arial"/>
          <w:sz w:val="24"/>
          <w:szCs w:val="24"/>
        </w:rPr>
      </w:pPr>
      <w:r>
        <w:rPr>
          <w:rFonts w:eastAsia="Arial"/>
          <w:sz w:val="24"/>
          <w:szCs w:val="24"/>
        </w:rPr>
        <w:t>Prof Stuart McDonald MD, Forensic Anatomist, University of Glasgow</w:t>
      </w:r>
    </w:p>
    <w:p w14:paraId="29100D69" w14:textId="3998E621" w:rsidR="00BB60AD" w:rsidRPr="008267E2" w:rsidRDefault="00BB60AD" w:rsidP="002F6260">
      <w:pPr>
        <w:pStyle w:val="ListParagraph"/>
        <w:spacing w:line="360" w:lineRule="auto"/>
        <w:ind w:left="142" w:hanging="142"/>
        <w:jc w:val="both"/>
        <w:rPr>
          <w:rFonts w:eastAsia="Arial"/>
          <w:sz w:val="24"/>
          <w:szCs w:val="24"/>
        </w:rPr>
      </w:pPr>
      <w:r>
        <w:rPr>
          <w:rFonts w:eastAsia="Arial"/>
          <w:sz w:val="24"/>
          <w:szCs w:val="24"/>
        </w:rPr>
        <w:t>Prof John Cassella, Professor of Forensic Science Education, Staffordshire University</w:t>
      </w:r>
    </w:p>
    <w:p w14:paraId="10463EFF" w14:textId="77777777" w:rsidR="00702840" w:rsidRPr="008267E2" w:rsidRDefault="00702840" w:rsidP="002F6260">
      <w:pPr>
        <w:spacing w:line="360" w:lineRule="auto"/>
        <w:ind w:left="142" w:hanging="142"/>
        <w:jc w:val="both"/>
        <w:rPr>
          <w:rFonts w:eastAsia="Arial"/>
          <w:sz w:val="24"/>
          <w:szCs w:val="24"/>
        </w:rPr>
      </w:pPr>
    </w:p>
    <w:p w14:paraId="71EB780D" w14:textId="77777777" w:rsidR="00204592" w:rsidRPr="008267E2" w:rsidRDefault="00740DDE" w:rsidP="002F6260">
      <w:pPr>
        <w:spacing w:line="360" w:lineRule="auto"/>
        <w:ind w:left="142" w:hanging="142"/>
        <w:jc w:val="both"/>
        <w:rPr>
          <w:rFonts w:eastAsia="Arial"/>
          <w:sz w:val="24"/>
          <w:szCs w:val="24"/>
        </w:rPr>
      </w:pPr>
      <w:r w:rsidRPr="008267E2">
        <w:rPr>
          <w:rFonts w:eastAsia="Arial"/>
          <w:sz w:val="24"/>
          <w:szCs w:val="24"/>
        </w:rPr>
        <w:t xml:space="preserve">                     </w:t>
      </w:r>
    </w:p>
    <w:p w14:paraId="71698C7F" w14:textId="77777777" w:rsidR="00204592" w:rsidRPr="008267E2" w:rsidRDefault="00740DDE" w:rsidP="002F6260">
      <w:pPr>
        <w:spacing w:line="360" w:lineRule="auto"/>
        <w:ind w:left="142" w:hanging="142"/>
        <w:jc w:val="both"/>
        <w:rPr>
          <w:rFonts w:eastAsia="Arial"/>
          <w:sz w:val="24"/>
          <w:szCs w:val="24"/>
        </w:rPr>
      </w:pPr>
      <w:r w:rsidRPr="008267E2">
        <w:rPr>
          <w:rFonts w:eastAsia="Arial"/>
          <w:sz w:val="24"/>
          <w:szCs w:val="24"/>
        </w:rPr>
        <w:t xml:space="preserve">     </w:t>
      </w:r>
    </w:p>
    <w:sectPr w:rsidR="00204592" w:rsidRPr="008267E2" w:rsidSect="00450080">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04CAF" w14:textId="77777777" w:rsidR="00C44814" w:rsidRDefault="00C44814">
      <w:pPr>
        <w:spacing w:after="0" w:line="240" w:lineRule="auto"/>
      </w:pPr>
      <w:r>
        <w:separator/>
      </w:r>
    </w:p>
  </w:endnote>
  <w:endnote w:type="continuationSeparator" w:id="0">
    <w:p w14:paraId="62DB167F" w14:textId="77777777" w:rsidR="00C44814" w:rsidRDefault="00C4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5899"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EBBA" w14:textId="4DC719A8" w:rsidR="00204592" w:rsidRDefault="00740DD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B518C">
      <w:rPr>
        <w:noProof/>
        <w:color w:val="000000"/>
      </w:rPr>
      <w:t>3</w:t>
    </w:r>
    <w:r>
      <w:rPr>
        <w:color w:val="000000"/>
      </w:rPr>
      <w:fldChar w:fldCharType="end"/>
    </w:r>
  </w:p>
  <w:p w14:paraId="0F6AEE3A"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D6AD"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78028" w14:textId="77777777" w:rsidR="00C44814" w:rsidRDefault="00C44814">
      <w:pPr>
        <w:spacing w:after="0" w:line="240" w:lineRule="auto"/>
      </w:pPr>
      <w:r>
        <w:separator/>
      </w:r>
    </w:p>
  </w:footnote>
  <w:footnote w:type="continuationSeparator" w:id="0">
    <w:p w14:paraId="52E76C02" w14:textId="77777777" w:rsidR="00C44814" w:rsidRDefault="00C44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4C8B"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E176" w14:textId="77777777" w:rsidR="00204592" w:rsidRDefault="00740DDE">
    <w:pPr>
      <w:tabs>
        <w:tab w:val="right" w:pos="9498"/>
      </w:tabs>
      <w:spacing w:after="0" w:line="240" w:lineRule="auto"/>
      <w:rPr>
        <w:color w:val="000000"/>
      </w:rPr>
    </w:pPr>
    <w:r>
      <w:rPr>
        <w:noProof/>
      </w:rPr>
      <w:drawing>
        <wp:inline distT="0" distB="0" distL="0" distR="0" wp14:anchorId="1C484950" wp14:editId="1C315649">
          <wp:extent cx="2047689" cy="60492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689" cy="604920"/>
                  </a:xfrm>
                  <a:prstGeom prst="rect">
                    <a:avLst/>
                  </a:prstGeom>
                  <a:ln/>
                </pic:spPr>
              </pic:pic>
            </a:graphicData>
          </a:graphic>
        </wp:inline>
      </w:drawing>
    </w:r>
    <w:r>
      <w:tab/>
    </w:r>
    <w:r>
      <w:rPr>
        <w:noProof/>
      </w:rPr>
      <w:drawing>
        <wp:inline distT="0" distB="0" distL="0" distR="0" wp14:anchorId="2BC7E84A" wp14:editId="2F273A72">
          <wp:extent cx="1974467" cy="529943"/>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1" b="-13761"/>
                  <a:stretch>
                    <a:fillRect/>
                  </a:stretch>
                </pic:blipFill>
                <pic:spPr>
                  <a:xfrm>
                    <a:off x="0" y="0"/>
                    <a:ext cx="1974467" cy="52994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5BDF" w14:textId="77777777" w:rsidR="00204592" w:rsidRDefault="0020459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4EBE"/>
    <w:multiLevelType w:val="multilevel"/>
    <w:tmpl w:val="0950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D7ED8"/>
    <w:multiLevelType w:val="multilevel"/>
    <w:tmpl w:val="D74AE80C"/>
    <w:lvl w:ilvl="0">
      <w:start w:val="5"/>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4B2D9A"/>
    <w:multiLevelType w:val="hybridMultilevel"/>
    <w:tmpl w:val="414A2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E15A4D"/>
    <w:multiLevelType w:val="multilevel"/>
    <w:tmpl w:val="02E8F586"/>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decimal"/>
      <w:lvlText w:val="%1.%2.%3."/>
      <w:lvlJc w:val="right"/>
      <w:pPr>
        <w:ind w:left="2160" w:hanging="360"/>
      </w:pPr>
      <w:rPr>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3AB03D90"/>
    <w:multiLevelType w:val="multilevel"/>
    <w:tmpl w:val="11181DD2"/>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bullet"/>
      <w:lvlText w:val=""/>
      <w:lvlJc w:val="left"/>
      <w:pPr>
        <w:ind w:left="2160" w:hanging="360"/>
      </w:pPr>
      <w:rPr>
        <w:rFonts w:ascii="Symbol" w:hAnsi="Symbol" w:hint="default"/>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C7801FA"/>
    <w:multiLevelType w:val="multilevel"/>
    <w:tmpl w:val="F266C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E33090"/>
    <w:multiLevelType w:val="multilevel"/>
    <w:tmpl w:val="8102BF80"/>
    <w:lvl w:ilvl="0">
      <w:start w:val="1"/>
      <w:numFmt w:val="decimal"/>
      <w:lvlText w:val="%1."/>
      <w:lvlJc w:val="right"/>
      <w:pPr>
        <w:ind w:left="720" w:hanging="360"/>
      </w:pPr>
      <w:rPr>
        <w:u w:val="none"/>
      </w:rPr>
    </w:lvl>
    <w:lvl w:ilvl="1">
      <w:start w:val="1"/>
      <w:numFmt w:val="decimal"/>
      <w:lvlText w:val="%1.%2."/>
      <w:lvlJc w:val="right"/>
      <w:pPr>
        <w:ind w:left="1440" w:hanging="360"/>
      </w:pPr>
      <w:rPr>
        <w:b w:val="0"/>
        <w:bCs/>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46D51C3B"/>
    <w:multiLevelType w:val="multilevel"/>
    <w:tmpl w:val="7688CE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53802B35"/>
    <w:multiLevelType w:val="multilevel"/>
    <w:tmpl w:val="11181DD2"/>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bullet"/>
      <w:lvlText w:val=""/>
      <w:lvlJc w:val="left"/>
      <w:pPr>
        <w:ind w:left="2160" w:hanging="360"/>
      </w:pPr>
      <w:rPr>
        <w:rFonts w:ascii="Symbol" w:hAnsi="Symbol" w:hint="default"/>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57756003"/>
    <w:multiLevelType w:val="hybridMultilevel"/>
    <w:tmpl w:val="4404E3C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3F3754"/>
    <w:multiLevelType w:val="multilevel"/>
    <w:tmpl w:val="93EE8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154968"/>
    <w:multiLevelType w:val="multilevel"/>
    <w:tmpl w:val="02E8F586"/>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decimal"/>
      <w:lvlText w:val="%1.%2.%3."/>
      <w:lvlJc w:val="right"/>
      <w:pPr>
        <w:ind w:left="2160" w:hanging="360"/>
      </w:pPr>
      <w:rPr>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5D6E7D82"/>
    <w:multiLevelType w:val="hybridMultilevel"/>
    <w:tmpl w:val="905E0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C16DF8"/>
    <w:multiLevelType w:val="multilevel"/>
    <w:tmpl w:val="32DA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25627B"/>
    <w:multiLevelType w:val="multilevel"/>
    <w:tmpl w:val="02E8F586"/>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decimal"/>
      <w:lvlText w:val="%1.%2.%3."/>
      <w:lvlJc w:val="right"/>
      <w:pPr>
        <w:ind w:left="2160" w:hanging="360"/>
      </w:pPr>
      <w:rPr>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60E87BDA"/>
    <w:multiLevelType w:val="multilevel"/>
    <w:tmpl w:val="734EEBEE"/>
    <w:lvl w:ilvl="0">
      <w:start w:val="5"/>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21D1F44"/>
    <w:multiLevelType w:val="multilevel"/>
    <w:tmpl w:val="02E8F586"/>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decimal"/>
      <w:lvlText w:val="%1.%2.%3."/>
      <w:lvlJc w:val="right"/>
      <w:pPr>
        <w:ind w:left="2160" w:hanging="360"/>
      </w:pPr>
      <w:rPr>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74554405"/>
    <w:multiLevelType w:val="multilevel"/>
    <w:tmpl w:val="02E8F586"/>
    <w:lvl w:ilvl="0">
      <w:start w:val="1"/>
      <w:numFmt w:val="decimal"/>
      <w:lvlText w:val="%1."/>
      <w:lvlJc w:val="right"/>
      <w:pPr>
        <w:ind w:left="720" w:hanging="360"/>
      </w:pPr>
      <w:rPr>
        <w:b w:val="0"/>
        <w:bCs/>
        <w:sz w:val="20"/>
        <w:szCs w:val="20"/>
        <w:u w:val="none"/>
      </w:rPr>
    </w:lvl>
    <w:lvl w:ilvl="1">
      <w:start w:val="1"/>
      <w:numFmt w:val="decimal"/>
      <w:lvlText w:val="%1.%2."/>
      <w:lvlJc w:val="right"/>
      <w:pPr>
        <w:ind w:left="1440" w:hanging="360"/>
      </w:pPr>
      <w:rPr>
        <w:b w:val="0"/>
        <w:bCs/>
        <w:sz w:val="20"/>
        <w:szCs w:val="20"/>
        <w:u w:val="none"/>
      </w:rPr>
    </w:lvl>
    <w:lvl w:ilvl="2">
      <w:start w:val="1"/>
      <w:numFmt w:val="decimal"/>
      <w:lvlText w:val="%1.%2.%3."/>
      <w:lvlJc w:val="right"/>
      <w:pPr>
        <w:ind w:left="2160" w:hanging="360"/>
      </w:pPr>
      <w:rPr>
        <w:b w:val="0"/>
        <w:bCs/>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7689265B"/>
    <w:multiLevelType w:val="multilevel"/>
    <w:tmpl w:val="8102BF80"/>
    <w:lvl w:ilvl="0">
      <w:start w:val="1"/>
      <w:numFmt w:val="decimal"/>
      <w:lvlText w:val="%1."/>
      <w:lvlJc w:val="right"/>
      <w:pPr>
        <w:ind w:left="720" w:hanging="360"/>
      </w:pPr>
      <w:rPr>
        <w:u w:val="none"/>
      </w:rPr>
    </w:lvl>
    <w:lvl w:ilvl="1">
      <w:start w:val="1"/>
      <w:numFmt w:val="decimal"/>
      <w:lvlText w:val="%1.%2."/>
      <w:lvlJc w:val="right"/>
      <w:pPr>
        <w:ind w:left="1440" w:hanging="360"/>
      </w:pPr>
      <w:rPr>
        <w:b w:val="0"/>
        <w:bCs/>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7CE24BFC"/>
    <w:multiLevelType w:val="hybridMultilevel"/>
    <w:tmpl w:val="7A768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2"/>
  </w:num>
  <w:num w:numId="5">
    <w:abstractNumId w:val="9"/>
  </w:num>
  <w:num w:numId="6">
    <w:abstractNumId w:val="6"/>
  </w:num>
  <w:num w:numId="7">
    <w:abstractNumId w:val="7"/>
  </w:num>
  <w:num w:numId="8">
    <w:abstractNumId w:val="18"/>
  </w:num>
  <w:num w:numId="9">
    <w:abstractNumId w:val="2"/>
  </w:num>
  <w:num w:numId="10">
    <w:abstractNumId w:val="3"/>
  </w:num>
  <w:num w:numId="11">
    <w:abstractNumId w:val="19"/>
  </w:num>
  <w:num w:numId="12">
    <w:abstractNumId w:val="14"/>
  </w:num>
  <w:num w:numId="13">
    <w:abstractNumId w:val="1"/>
  </w:num>
  <w:num w:numId="14">
    <w:abstractNumId w:val="15"/>
  </w:num>
  <w:num w:numId="15">
    <w:abstractNumId w:val="11"/>
  </w:num>
  <w:num w:numId="16">
    <w:abstractNumId w:val="17"/>
  </w:num>
  <w:num w:numId="17">
    <w:abstractNumId w:val="16"/>
  </w:num>
  <w:num w:numId="18">
    <w:abstractNumId w:val="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TY3MzIwMDK3NLJU0lEKTi0uzszPAykwrgUAuv9ytCwAAAA="/>
  </w:docVars>
  <w:rsids>
    <w:rsidRoot w:val="00204592"/>
    <w:rsid w:val="000529D6"/>
    <w:rsid w:val="00082882"/>
    <w:rsid w:val="00097E44"/>
    <w:rsid w:val="00132EA0"/>
    <w:rsid w:val="001913BD"/>
    <w:rsid w:val="00192E4A"/>
    <w:rsid w:val="001A17BC"/>
    <w:rsid w:val="00204592"/>
    <w:rsid w:val="002D0FB4"/>
    <w:rsid w:val="002D576E"/>
    <w:rsid w:val="002F6260"/>
    <w:rsid w:val="00317E8D"/>
    <w:rsid w:val="003237D4"/>
    <w:rsid w:val="00324145"/>
    <w:rsid w:val="0038544C"/>
    <w:rsid w:val="00450080"/>
    <w:rsid w:val="004C42FE"/>
    <w:rsid w:val="0051719A"/>
    <w:rsid w:val="005450ED"/>
    <w:rsid w:val="005D4CAC"/>
    <w:rsid w:val="00631AFC"/>
    <w:rsid w:val="00655B79"/>
    <w:rsid w:val="006E7717"/>
    <w:rsid w:val="00701129"/>
    <w:rsid w:val="00702840"/>
    <w:rsid w:val="00706366"/>
    <w:rsid w:val="007228EE"/>
    <w:rsid w:val="007327C7"/>
    <w:rsid w:val="00740DDE"/>
    <w:rsid w:val="0075167F"/>
    <w:rsid w:val="00762F49"/>
    <w:rsid w:val="007F2C91"/>
    <w:rsid w:val="007F2E01"/>
    <w:rsid w:val="008218E4"/>
    <w:rsid w:val="008267E2"/>
    <w:rsid w:val="008643EB"/>
    <w:rsid w:val="0086464B"/>
    <w:rsid w:val="008670C0"/>
    <w:rsid w:val="00890F1A"/>
    <w:rsid w:val="008A01AF"/>
    <w:rsid w:val="00A10400"/>
    <w:rsid w:val="00A46038"/>
    <w:rsid w:val="00A913FF"/>
    <w:rsid w:val="00AE06CA"/>
    <w:rsid w:val="00B3520F"/>
    <w:rsid w:val="00B90227"/>
    <w:rsid w:val="00BB60AD"/>
    <w:rsid w:val="00C42DCB"/>
    <w:rsid w:val="00C44814"/>
    <w:rsid w:val="00C65C84"/>
    <w:rsid w:val="00D3794C"/>
    <w:rsid w:val="00DB518C"/>
    <w:rsid w:val="00E0311A"/>
    <w:rsid w:val="00E26753"/>
    <w:rsid w:val="00E56E4D"/>
    <w:rsid w:val="00F75924"/>
    <w:rsid w:val="00F87B6A"/>
    <w:rsid w:val="00FB6B8B"/>
    <w:rsid w:val="00FD3AC1"/>
    <w:rsid w:val="00FE57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2E9D"/>
  <w15:docId w15:val="{90F9C02F-E972-4688-97F7-DC0E9000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5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ED"/>
    <w:rPr>
      <w:rFonts w:ascii="Segoe UI" w:hAnsi="Segoe UI" w:cs="Segoe UI"/>
      <w:sz w:val="18"/>
      <w:szCs w:val="18"/>
    </w:rPr>
  </w:style>
  <w:style w:type="paragraph" w:styleId="ListParagraph">
    <w:name w:val="List Paragraph"/>
    <w:basedOn w:val="Normal"/>
    <w:uiPriority w:val="34"/>
    <w:qFormat/>
    <w:rsid w:val="0086464B"/>
    <w:pPr>
      <w:ind w:left="720"/>
      <w:contextualSpacing/>
    </w:pPr>
  </w:style>
  <w:style w:type="paragraph" w:styleId="CommentSubject">
    <w:name w:val="annotation subject"/>
    <w:basedOn w:val="CommentText"/>
    <w:next w:val="CommentText"/>
    <w:link w:val="CommentSubjectChar"/>
    <w:uiPriority w:val="99"/>
    <w:semiHidden/>
    <w:unhideWhenUsed/>
    <w:rsid w:val="00450080"/>
    <w:rPr>
      <w:b/>
      <w:bCs/>
    </w:rPr>
  </w:style>
  <w:style w:type="character" w:customStyle="1" w:styleId="CommentSubjectChar">
    <w:name w:val="Comment Subject Char"/>
    <w:basedOn w:val="CommentTextChar"/>
    <w:link w:val="CommentSubject"/>
    <w:uiPriority w:val="99"/>
    <w:semiHidden/>
    <w:rsid w:val="00450080"/>
    <w:rPr>
      <w:b/>
      <w:bCs/>
      <w:sz w:val="20"/>
      <w:szCs w:val="20"/>
    </w:rPr>
  </w:style>
  <w:style w:type="character" w:styleId="Hyperlink">
    <w:name w:val="Hyperlink"/>
    <w:basedOn w:val="DefaultParagraphFont"/>
    <w:uiPriority w:val="99"/>
    <w:unhideWhenUsed/>
    <w:rsid w:val="00701129"/>
    <w:rPr>
      <w:color w:val="0000FF" w:themeColor="hyperlink"/>
      <w:u w:val="single"/>
    </w:rPr>
  </w:style>
  <w:style w:type="character" w:styleId="FollowedHyperlink">
    <w:name w:val="FollowedHyperlink"/>
    <w:basedOn w:val="DefaultParagraphFont"/>
    <w:uiPriority w:val="99"/>
    <w:semiHidden/>
    <w:unhideWhenUsed/>
    <w:rsid w:val="00DB5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3812">
      <w:bodyDiv w:val="1"/>
      <w:marLeft w:val="0"/>
      <w:marRight w:val="0"/>
      <w:marTop w:val="0"/>
      <w:marBottom w:val="0"/>
      <w:divBdr>
        <w:top w:val="none" w:sz="0" w:space="0" w:color="auto"/>
        <w:left w:val="none" w:sz="0" w:space="0" w:color="auto"/>
        <w:bottom w:val="none" w:sz="0" w:space="0" w:color="auto"/>
        <w:right w:val="none" w:sz="0" w:space="0" w:color="auto"/>
      </w:divBdr>
      <w:divsChild>
        <w:div w:id="1113860511">
          <w:marLeft w:val="0"/>
          <w:marRight w:val="0"/>
          <w:marTop w:val="0"/>
          <w:marBottom w:val="450"/>
          <w:divBdr>
            <w:top w:val="none" w:sz="0" w:space="0" w:color="auto"/>
            <w:left w:val="none" w:sz="0" w:space="0" w:color="auto"/>
            <w:bottom w:val="none" w:sz="0" w:space="0" w:color="auto"/>
            <w:right w:val="none" w:sz="0" w:space="0" w:color="auto"/>
          </w:divBdr>
          <w:divsChild>
            <w:div w:id="1358310331">
              <w:marLeft w:val="3372"/>
              <w:marRight w:val="0"/>
              <w:marTop w:val="0"/>
              <w:marBottom w:val="0"/>
              <w:divBdr>
                <w:top w:val="none" w:sz="0" w:space="0" w:color="auto"/>
                <w:left w:val="none" w:sz="0" w:space="0" w:color="auto"/>
                <w:bottom w:val="none" w:sz="0" w:space="0" w:color="auto"/>
                <w:right w:val="none" w:sz="0" w:space="0" w:color="auto"/>
              </w:divBdr>
            </w:div>
          </w:divsChild>
        </w:div>
        <w:div w:id="64574705">
          <w:marLeft w:val="0"/>
          <w:marRight w:val="0"/>
          <w:marTop w:val="0"/>
          <w:marBottom w:val="450"/>
          <w:divBdr>
            <w:top w:val="none" w:sz="0" w:space="0" w:color="auto"/>
            <w:left w:val="none" w:sz="0" w:space="0" w:color="auto"/>
            <w:bottom w:val="none" w:sz="0" w:space="0" w:color="auto"/>
            <w:right w:val="none" w:sz="0" w:space="0" w:color="auto"/>
          </w:divBdr>
          <w:divsChild>
            <w:div w:id="1122379852">
              <w:marLeft w:val="3372"/>
              <w:marRight w:val="0"/>
              <w:marTop w:val="0"/>
              <w:marBottom w:val="0"/>
              <w:divBdr>
                <w:top w:val="none" w:sz="0" w:space="0" w:color="auto"/>
                <w:left w:val="none" w:sz="0" w:space="0" w:color="auto"/>
                <w:bottom w:val="none" w:sz="0" w:space="0" w:color="auto"/>
                <w:right w:val="none" w:sz="0" w:space="0" w:color="auto"/>
              </w:divBdr>
            </w:div>
          </w:divsChild>
        </w:div>
        <w:div w:id="151066493">
          <w:marLeft w:val="0"/>
          <w:marRight w:val="0"/>
          <w:marTop w:val="0"/>
          <w:marBottom w:val="450"/>
          <w:divBdr>
            <w:top w:val="none" w:sz="0" w:space="0" w:color="auto"/>
            <w:left w:val="none" w:sz="0" w:space="0" w:color="auto"/>
            <w:bottom w:val="none" w:sz="0" w:space="0" w:color="auto"/>
            <w:right w:val="none" w:sz="0" w:space="0" w:color="auto"/>
          </w:divBdr>
          <w:divsChild>
            <w:div w:id="2014716734">
              <w:marLeft w:val="3372"/>
              <w:marRight w:val="0"/>
              <w:marTop w:val="0"/>
              <w:marBottom w:val="0"/>
              <w:divBdr>
                <w:top w:val="none" w:sz="0" w:space="0" w:color="auto"/>
                <w:left w:val="none" w:sz="0" w:space="0" w:color="auto"/>
                <w:bottom w:val="none" w:sz="0" w:space="0" w:color="auto"/>
                <w:right w:val="none" w:sz="0" w:space="0" w:color="auto"/>
              </w:divBdr>
              <w:divsChild>
                <w:div w:id="14732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5875">
      <w:bodyDiv w:val="1"/>
      <w:marLeft w:val="0"/>
      <w:marRight w:val="0"/>
      <w:marTop w:val="0"/>
      <w:marBottom w:val="0"/>
      <w:divBdr>
        <w:top w:val="none" w:sz="0" w:space="0" w:color="auto"/>
        <w:left w:val="none" w:sz="0" w:space="0" w:color="auto"/>
        <w:bottom w:val="none" w:sz="0" w:space="0" w:color="auto"/>
        <w:right w:val="none" w:sz="0" w:space="0" w:color="auto"/>
      </w:divBdr>
    </w:div>
    <w:div w:id="688532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tu.ac.uk/staff-profiles/science-technology/jennifer-mill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miller@ntu.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7286-29EA-4EEA-8C52-4ECC696F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Ian</dc:creator>
  <cp:lastModifiedBy>Pickford, Rich</cp:lastModifiedBy>
  <cp:revision>2</cp:revision>
  <cp:lastPrinted>2018-05-16T13:23:00Z</cp:lastPrinted>
  <dcterms:created xsi:type="dcterms:W3CDTF">2018-09-03T13:44:00Z</dcterms:created>
  <dcterms:modified xsi:type="dcterms:W3CDTF">2018-09-03T13:44:00Z</dcterms:modified>
</cp:coreProperties>
</file>