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1Light-Accent31"/>
        <w:tblW w:w="0" w:type="auto"/>
        <w:tblBorders>
          <w:top w:val="single" w:sz="12" w:space="0" w:color="E7BC29"/>
          <w:left w:val="single" w:sz="12" w:space="0" w:color="E7BC29"/>
          <w:bottom w:val="single" w:sz="12" w:space="0" w:color="E7BC29"/>
          <w:right w:val="single" w:sz="12" w:space="0" w:color="E7BC29"/>
          <w:insideH w:val="single" w:sz="12" w:space="0" w:color="E7BC29"/>
          <w:insideV w:val="single" w:sz="12" w:space="0" w:color="E7BC29"/>
        </w:tblBorders>
        <w:tblLook w:val="04A0" w:firstRow="1" w:lastRow="0" w:firstColumn="1" w:lastColumn="0" w:noHBand="0" w:noVBand="1"/>
      </w:tblPr>
      <w:tblGrid>
        <w:gridCol w:w="6148"/>
        <w:gridCol w:w="2848"/>
      </w:tblGrid>
      <w:tr w:rsidR="0061218F" w:rsidRPr="00CA2242" w14:paraId="11EA1758" w14:textId="77777777" w:rsidTr="00B9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8" w:type="dxa"/>
            <w:tcBorders>
              <w:bottom w:val="none" w:sz="0" w:space="0" w:color="auto"/>
              <w:right w:val="nil"/>
            </w:tcBorders>
          </w:tcPr>
          <w:p w14:paraId="0C10CABB" w14:textId="77777777" w:rsidR="0061218F" w:rsidRPr="00CA2242" w:rsidRDefault="0061218F" w:rsidP="00B9669D">
            <w:pPr>
              <w:contextualSpacing/>
              <w:rPr>
                <w:rFonts w:ascii="Century Gothic" w:eastAsia="MS Gothic" w:hAnsi="Century Gothic" w:cs="Tahoma"/>
                <w:color w:val="F3A447"/>
                <w:sz w:val="50"/>
                <w:szCs w:val="50"/>
              </w:rPr>
            </w:pPr>
            <w:r w:rsidRPr="00CA2242">
              <w:rPr>
                <w:rFonts w:ascii="Century Gothic" w:eastAsia="MS Gothic" w:hAnsi="Century Gothic" w:cs="Tahoma"/>
                <w:noProof/>
                <w:color w:val="F3A447"/>
                <w:sz w:val="50"/>
                <w:szCs w:val="50"/>
              </w:rPr>
              <w:drawing>
                <wp:inline distT="0" distB="0" distL="0" distR="0" wp14:anchorId="5C8E5658" wp14:editId="5B9363D4">
                  <wp:extent cx="1315844" cy="428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L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17" cy="43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E132A" w14:textId="77777777" w:rsidR="0061218F" w:rsidRPr="00CA2242" w:rsidRDefault="0061218F" w:rsidP="00B9669D">
            <w:pPr>
              <w:contextualSpacing/>
              <w:rPr>
                <w:rFonts w:ascii="Century Gothic" w:eastAsia="MS Gothic" w:hAnsi="Century Gothic" w:cs="Tahoma"/>
                <w:color w:val="F3A447"/>
                <w:sz w:val="48"/>
                <w:szCs w:val="48"/>
              </w:rPr>
            </w:pPr>
            <w:r w:rsidRPr="00CA2242">
              <w:rPr>
                <w:rFonts w:ascii="Century Gothic" w:eastAsia="MS Gothic" w:hAnsi="Century Gothic" w:cs="Tahoma"/>
                <w:color w:val="F3A447"/>
                <w:sz w:val="48"/>
                <w:szCs w:val="48"/>
              </w:rPr>
              <w:t xml:space="preserve">DESIGN THINKING IN EDUCATION </w:t>
            </w:r>
          </w:p>
        </w:tc>
        <w:tc>
          <w:tcPr>
            <w:tcW w:w="2887" w:type="dxa"/>
            <w:tcBorders>
              <w:left w:val="nil"/>
              <w:bottom w:val="none" w:sz="0" w:space="0" w:color="auto"/>
            </w:tcBorders>
          </w:tcPr>
          <w:p w14:paraId="17722B0C" w14:textId="77777777" w:rsidR="0061218F" w:rsidRPr="00CA2242" w:rsidRDefault="0061218F" w:rsidP="00B9669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Gothic" w:hAnsi="Century Gothic" w:cs="Tahoma"/>
                <w:color w:val="F3A447"/>
                <w:sz w:val="50"/>
                <w:szCs w:val="50"/>
              </w:rPr>
            </w:pPr>
            <w:r w:rsidRPr="00CA2242">
              <w:rPr>
                <w:rFonts w:ascii="Century Gothic" w:eastAsia="MS Gothic" w:hAnsi="Century Gothic" w:cs="Tahoma"/>
                <w:noProof/>
                <w:color w:val="F3A447"/>
                <w:sz w:val="50"/>
                <w:szCs w:val="50"/>
              </w:rPr>
              <w:drawing>
                <wp:inline distT="0" distB="0" distL="0" distR="0" wp14:anchorId="4069B181" wp14:editId="31CB7483">
                  <wp:extent cx="1543247" cy="1114425"/>
                  <wp:effectExtent l="19050" t="0" r="19050" b="3333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sign-thinking-i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83" cy="11169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A0EE8" w14:textId="6541867A" w:rsidR="00F95F12" w:rsidRDefault="00F95F12" w:rsidP="0061218F"/>
    <w:p w14:paraId="1DD0DBB3" w14:textId="75D43C3B" w:rsidR="0061218F" w:rsidRDefault="009469F2" w:rsidP="0061218F">
      <w:pPr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r w:rsidRPr="001E75ED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List of references used in the Introductory Workshop, </w:t>
      </w:r>
      <w:r w:rsidR="001E75ED" w:rsidRPr="001E75ED">
        <w:rPr>
          <w:rFonts w:ascii="Century Gothic" w:hAnsi="Century Gothic"/>
          <w:b/>
          <w:color w:val="808080" w:themeColor="background1" w:themeShade="80"/>
          <w:sz w:val="28"/>
          <w:szCs w:val="28"/>
        </w:rPr>
        <w:t>13/06/2018</w:t>
      </w:r>
    </w:p>
    <w:p w14:paraId="6A1796D2" w14:textId="2601EC01" w:rsidR="001E75ED" w:rsidRDefault="001E75ED" w:rsidP="0061218F">
      <w:pPr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</w:p>
    <w:p w14:paraId="600572FF" w14:textId="1527BAE4" w:rsidR="00662AE5" w:rsidRDefault="00662AE5" w:rsidP="0061218F">
      <w:proofErr w:type="spellStart"/>
      <w:r>
        <w:t>Arvanitakis</w:t>
      </w:r>
      <w:proofErr w:type="spellEnd"/>
      <w:r>
        <w:t xml:space="preserve">, James &amp; Matthews, Ingrid, 2014. Bridging the divides: An interdisciplinary perspective on the teaching-research nexus and community engagement. </w:t>
      </w:r>
      <w:r>
        <w:rPr>
          <w:i/>
          <w:iCs/>
        </w:rPr>
        <w:t>Adelaide Law Review, The</w:t>
      </w:r>
      <w:r>
        <w:t>, 35(1), pp.35–54.</w:t>
      </w:r>
    </w:p>
    <w:p w14:paraId="0589B62A" w14:textId="77777777" w:rsidR="00006FA6" w:rsidRDefault="00C5204E" w:rsidP="00006FA6">
      <w:r>
        <w:t xml:space="preserve">Blizzard et al., 2015. Using survey questions to identify and learn more about those who exhibit design thinking traits. </w:t>
      </w:r>
      <w:r>
        <w:rPr>
          <w:i/>
          <w:iCs/>
        </w:rPr>
        <w:t>Design Studies</w:t>
      </w:r>
      <w:r>
        <w:t>, 38(C), pp.92–110.</w:t>
      </w:r>
      <w:r w:rsidR="00006FA6" w:rsidRPr="00006FA6">
        <w:t xml:space="preserve"> </w:t>
      </w:r>
    </w:p>
    <w:p w14:paraId="3E9304F4" w14:textId="72BBBDCF" w:rsidR="00006FA6" w:rsidRDefault="00006FA6" w:rsidP="00006FA6">
      <w:r>
        <w:t xml:space="preserve">Leinonen, T.D. &amp; </w:t>
      </w:r>
      <w:proofErr w:type="spellStart"/>
      <w:r>
        <w:t>Gazulla</w:t>
      </w:r>
      <w:proofErr w:type="spellEnd"/>
      <w:r>
        <w:t xml:space="preserve">, E.D., 2014. Design thinking and collaborative learning. </w:t>
      </w:r>
      <w:proofErr w:type="spellStart"/>
      <w:r>
        <w:rPr>
          <w:i/>
          <w:iCs/>
        </w:rPr>
        <w:t>Comunicar</w:t>
      </w:r>
      <w:proofErr w:type="spellEnd"/>
      <w:r>
        <w:t>, 21(42), pp.107–116.</w:t>
      </w:r>
    </w:p>
    <w:p w14:paraId="276DAC15" w14:textId="0A5B543E" w:rsidR="00D034CE" w:rsidRPr="00006FA6" w:rsidRDefault="00D034CE" w:rsidP="00006FA6">
      <w:pPr>
        <w:rPr>
          <w:lang w:val="hu-HU"/>
        </w:rPr>
      </w:pPr>
      <w:r>
        <w:t xml:space="preserve">Leonard, Simon N., Fitzgerald, Robert N. &amp; Riordan, Geoffrey, 2016. Using Developmental Evaluation as a Design Thinking Tool for Curriculum Innovation in Professional Higher Education. </w:t>
      </w:r>
      <w:r>
        <w:rPr>
          <w:i/>
          <w:iCs/>
        </w:rPr>
        <w:t>Higher Education Research and Development</w:t>
      </w:r>
      <w:r>
        <w:t>, 35(2), pp.309–321.</w:t>
      </w:r>
    </w:p>
    <w:p w14:paraId="32C7A38D" w14:textId="3B6DB47E" w:rsidR="001E75ED" w:rsidRDefault="00E56DE8" w:rsidP="0061218F">
      <w:proofErr w:type="spellStart"/>
      <w:r>
        <w:t>Razzouk</w:t>
      </w:r>
      <w:proofErr w:type="spellEnd"/>
      <w:r>
        <w:t xml:space="preserve">, Rim &amp; Shute, Valerie, 2012. What Is Design Thinking and Why Is It Important? </w:t>
      </w:r>
      <w:r>
        <w:rPr>
          <w:i/>
          <w:iCs/>
        </w:rPr>
        <w:t>Review of Educational Research</w:t>
      </w:r>
      <w:r>
        <w:t>, 82(3), pp.330–348.</w:t>
      </w:r>
    </w:p>
    <w:p w14:paraId="7AB2271A" w14:textId="38BA4A7C" w:rsidR="00094628" w:rsidRDefault="00094628" w:rsidP="0061218F">
      <w:proofErr w:type="spellStart"/>
      <w:r>
        <w:t>Retna</w:t>
      </w:r>
      <w:proofErr w:type="spellEnd"/>
      <w:r>
        <w:t xml:space="preserve">, Kala S., 2016. Thinking about "Design Thinking": A Study of Teacher Experiences. </w:t>
      </w:r>
      <w:r>
        <w:rPr>
          <w:i/>
          <w:iCs/>
        </w:rPr>
        <w:t>Asia Pacific Journal of Education</w:t>
      </w:r>
      <w:r>
        <w:t>, 36(sup1), pp.1–15.</w:t>
      </w:r>
    </w:p>
    <w:p w14:paraId="78B1A4A7" w14:textId="78835C23" w:rsidR="00167182" w:rsidRDefault="004C1A59" w:rsidP="0061218F">
      <w:r>
        <w:t xml:space="preserve">Scheer, Andrea, </w:t>
      </w:r>
      <w:proofErr w:type="spellStart"/>
      <w:r>
        <w:t>Noweski</w:t>
      </w:r>
      <w:proofErr w:type="spellEnd"/>
      <w:r>
        <w:t xml:space="preserve">, Christine &amp; </w:t>
      </w:r>
      <w:proofErr w:type="spellStart"/>
      <w:r>
        <w:t>Meinel</w:t>
      </w:r>
      <w:proofErr w:type="spellEnd"/>
      <w:r>
        <w:t xml:space="preserve">, Christoph, 2012. Transforming Constructivist Learning into Action: Design Thinking in Education. </w:t>
      </w:r>
      <w:r>
        <w:rPr>
          <w:i/>
          <w:iCs/>
        </w:rPr>
        <w:t>Design and Technology Education</w:t>
      </w:r>
      <w:r>
        <w:t>, 17(3), pp.8–19.</w:t>
      </w:r>
    </w:p>
    <w:p w14:paraId="6272B555" w14:textId="0583F155" w:rsidR="00EE4E34" w:rsidRDefault="00EE4E34" w:rsidP="0061218F">
      <w:pPr>
        <w:rPr>
          <w:lang w:val="hu-HU"/>
        </w:rPr>
      </w:pPr>
      <w:r>
        <w:t xml:space="preserve">Steinbeck, R., 2011. Building Creative Competence in Globally Distributed Courses through Design Thinking/El «design thinking»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de </w:t>
      </w:r>
      <w:proofErr w:type="spellStart"/>
      <w:r>
        <w:t>creatividad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distancia</w:t>
      </w:r>
      <w:proofErr w:type="spellEnd"/>
      <w:r>
        <w:t xml:space="preserve">. </w:t>
      </w:r>
      <w:proofErr w:type="spellStart"/>
      <w:r>
        <w:rPr>
          <w:i/>
          <w:iCs/>
        </w:rPr>
        <w:t>Comunicar</w:t>
      </w:r>
      <w:proofErr w:type="spellEnd"/>
      <w:r>
        <w:t>, 19(37), pp.27–34.</w:t>
      </w:r>
    </w:p>
    <w:p w14:paraId="70540EEA" w14:textId="013891E1" w:rsidR="00094628" w:rsidRDefault="00094628" w:rsidP="0061218F">
      <w:pPr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sectPr w:rsidR="0009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2"/>
    <w:rsid w:val="00006FA6"/>
    <w:rsid w:val="00094628"/>
    <w:rsid w:val="00167182"/>
    <w:rsid w:val="001E75ED"/>
    <w:rsid w:val="004C1A59"/>
    <w:rsid w:val="0061218F"/>
    <w:rsid w:val="00620D75"/>
    <w:rsid w:val="00662AE5"/>
    <w:rsid w:val="009469F2"/>
    <w:rsid w:val="009E2007"/>
    <w:rsid w:val="00B01531"/>
    <w:rsid w:val="00C5204E"/>
    <w:rsid w:val="00D034CE"/>
    <w:rsid w:val="00E56DE8"/>
    <w:rsid w:val="00EE4E34"/>
    <w:rsid w:val="00F65B13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FABD"/>
  <w15:chartTrackingRefBased/>
  <w15:docId w15:val="{C35A2A07-3CD2-4E54-84FE-F94ABD3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1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31">
    <w:name w:val="List Table 1 Light - Accent 31"/>
    <w:basedOn w:val="TableNormal"/>
    <w:next w:val="ListTable1Light-Accent3"/>
    <w:uiPriority w:val="46"/>
    <w:rsid w:val="0061218F"/>
    <w:pPr>
      <w:spacing w:before="120" w:after="0" w:line="240" w:lineRule="auto"/>
      <w:ind w:left="72"/>
    </w:pPr>
    <w:rPr>
      <w:rFonts w:eastAsia="Palatino Linotype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ListTable1Light-Accent3">
    <w:name w:val="List Table 1 Light Accent 3"/>
    <w:basedOn w:val="TableNormal"/>
    <w:uiPriority w:val="46"/>
    <w:rsid w:val="006121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BUTT-BETHLENDY</dc:creator>
  <cp:keywords/>
  <dc:description/>
  <cp:lastModifiedBy>KATALIN BUTT-BETHLENDY</cp:lastModifiedBy>
  <cp:revision>17</cp:revision>
  <dcterms:created xsi:type="dcterms:W3CDTF">2018-06-14T20:04:00Z</dcterms:created>
  <dcterms:modified xsi:type="dcterms:W3CDTF">2018-06-14T20:41:00Z</dcterms:modified>
</cp:coreProperties>
</file>