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75C42" w14:textId="77777777" w:rsidR="00FB6B0C" w:rsidRDefault="00FB6B0C" w:rsidP="00FB6B0C">
      <w:pPr>
        <w:jc w:val="center"/>
        <w:rPr>
          <w:noProof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841C3" wp14:editId="395FA99C">
                <wp:simplePos x="0" y="0"/>
                <wp:positionH relativeFrom="margin">
                  <wp:align>center</wp:align>
                </wp:positionH>
                <wp:positionV relativeFrom="paragraph">
                  <wp:posOffset>323215</wp:posOffset>
                </wp:positionV>
                <wp:extent cx="6391275" cy="3619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84158" w14:textId="77777777" w:rsidR="00FB6B0C" w:rsidRPr="0049437C" w:rsidRDefault="00FB6B0C" w:rsidP="006C68C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37C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NLS Legal Advice Centre</w:t>
                            </w:r>
                            <w:r w:rsidR="006C68C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7B8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Seminars/</w:t>
                            </w:r>
                            <w:r w:rsidR="006C68C3"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  <w:szCs w:val="32"/>
                              </w:rPr>
                              <w:t>Webinars</w:t>
                            </w:r>
                          </w:p>
                          <w:p w14:paraId="580FA6BB" w14:textId="77777777" w:rsidR="00FB6B0C" w:rsidRPr="00602D73" w:rsidRDefault="00FB6B0C" w:rsidP="00FB6B0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10B68C"/>
                                <w:sz w:val="32"/>
                                <w:szCs w:val="32"/>
                              </w:rPr>
                            </w:pPr>
                          </w:p>
                          <w:p w14:paraId="6B7C4500" w14:textId="77777777" w:rsidR="00FB6B0C" w:rsidRDefault="00FB6B0C" w:rsidP="00FB6B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841C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25.45pt;width:503.2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" filled="f" stroked="f" strokeweight=".5pt">
                <v:textbox>
                  <w:txbxContent>
                    <w:p w14:paraId="5C984158" w14:textId="77777777" w:rsidR="00FB6B0C" w:rsidRPr="0049437C" w:rsidRDefault="00FB6B0C" w:rsidP="006C68C3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</w:pPr>
                      <w:r w:rsidRPr="0049437C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NLS Legal Advice Centre</w:t>
                      </w:r>
                      <w:r w:rsidR="006C68C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E77B8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Seminars/</w:t>
                      </w:r>
                      <w:r w:rsidR="006C68C3">
                        <w:rPr>
                          <w:rFonts w:ascii="Century Gothic" w:hAnsi="Century Gothic"/>
                          <w:b/>
                          <w:bCs/>
                          <w:sz w:val="32"/>
                          <w:szCs w:val="32"/>
                        </w:rPr>
                        <w:t>Webinars</w:t>
                      </w:r>
                    </w:p>
                    <w:p w14:paraId="580FA6BB" w14:textId="77777777" w:rsidR="00FB6B0C" w:rsidRPr="00602D73" w:rsidRDefault="00FB6B0C" w:rsidP="00FB6B0C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10B68C"/>
                          <w:sz w:val="32"/>
                          <w:szCs w:val="32"/>
                        </w:rPr>
                      </w:pPr>
                    </w:p>
                    <w:p w14:paraId="6B7C4500" w14:textId="77777777" w:rsidR="00FB6B0C" w:rsidRDefault="00FB6B0C" w:rsidP="00FB6B0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7B1D3B" w14:textId="77777777" w:rsidR="00164E75" w:rsidRDefault="009118B0" w:rsidP="00FB6B0C">
      <w:pPr>
        <w:jc w:val="center"/>
      </w:pPr>
    </w:p>
    <w:p w14:paraId="671D1E53" w14:textId="77777777" w:rsidR="00FB6B0C" w:rsidRDefault="00FB6B0C" w:rsidP="00FB6B0C">
      <w:pPr>
        <w:jc w:val="center"/>
      </w:pPr>
    </w:p>
    <w:p w14:paraId="63213157" w14:textId="77777777" w:rsidR="00FB6B0C" w:rsidRDefault="00FB6B0C" w:rsidP="00FB6B0C">
      <w:pPr>
        <w:jc w:val="center"/>
        <w:rPr>
          <w:b/>
          <w:bCs/>
        </w:rPr>
      </w:pPr>
      <w:r w:rsidRPr="00FB6B0C">
        <w:rPr>
          <w:b/>
          <w:bCs/>
        </w:rPr>
        <w:t>Terms and Conditions</w:t>
      </w:r>
    </w:p>
    <w:p w14:paraId="0B6EB29F" w14:textId="77777777" w:rsidR="00B86C2B" w:rsidRPr="00FB6B0C" w:rsidRDefault="00B86C2B" w:rsidP="00FB6B0C">
      <w:pPr>
        <w:jc w:val="center"/>
        <w:rPr>
          <w:b/>
          <w:bCs/>
        </w:rPr>
      </w:pPr>
    </w:p>
    <w:p w14:paraId="30C73356" w14:textId="77777777" w:rsidR="00FB6B0C" w:rsidRDefault="00FB6B0C" w:rsidP="00FD47AA">
      <w:pPr>
        <w:pStyle w:val="ListParagraph"/>
        <w:numPr>
          <w:ilvl w:val="0"/>
          <w:numId w:val="1"/>
        </w:numPr>
        <w:jc w:val="both"/>
      </w:pPr>
      <w:r>
        <w:t>These Terms and Conditions apply to all those individ</w:t>
      </w:r>
      <w:r w:rsidR="00E77B83">
        <w:t xml:space="preserve">uals, companies or organisations attending any seminars or </w:t>
      </w:r>
      <w:r w:rsidR="006C68C3">
        <w:t>webinars</w:t>
      </w:r>
      <w:r>
        <w:t xml:space="preserve"> deliv</w:t>
      </w:r>
      <w:r w:rsidR="00E77B83">
        <w:t>ered by NLS Legal Advice Centre.</w:t>
      </w:r>
    </w:p>
    <w:p w14:paraId="65093F35" w14:textId="77777777" w:rsidR="00E77B83" w:rsidRDefault="00E77B83" w:rsidP="00E77B83">
      <w:pPr>
        <w:pStyle w:val="ListParagraph"/>
        <w:jc w:val="both"/>
      </w:pPr>
    </w:p>
    <w:p w14:paraId="2ECAD3B5" w14:textId="77777777" w:rsidR="00E77B83" w:rsidRPr="00E77B83" w:rsidRDefault="003D1839" w:rsidP="00E77B83">
      <w:pPr>
        <w:pStyle w:val="ListParagraph"/>
        <w:numPr>
          <w:ilvl w:val="0"/>
          <w:numId w:val="1"/>
        </w:numPr>
        <w:jc w:val="both"/>
        <w:rPr>
          <w:rFonts w:ascii="&amp;quot" w:hAnsi="&amp;quot" w:hint="eastAsia"/>
          <w:color w:val="161A23"/>
        </w:rPr>
      </w:pPr>
      <w:r>
        <w:t xml:space="preserve">The </w:t>
      </w:r>
      <w:r w:rsidR="00E77B83">
        <w:t>session</w:t>
      </w:r>
      <w:r>
        <w:t xml:space="preserve"> is presented by</w:t>
      </w:r>
      <w:r w:rsidR="00FB6B0C" w:rsidRPr="00FB6B0C">
        <w:t xml:space="preserve"> </w:t>
      </w:r>
      <w:r w:rsidR="00FB6B0C">
        <w:t>Nottingham</w:t>
      </w:r>
      <w:r>
        <w:t xml:space="preserve"> Law School Legal Advice Centre, a law firm authorised and regulated by the </w:t>
      </w:r>
      <w:r w:rsidR="00FB6B0C">
        <w:t>Solicitors Regulation Authority</w:t>
      </w:r>
      <w:r>
        <w:t xml:space="preserve">. </w:t>
      </w:r>
      <w:r w:rsidR="00FB6B0C" w:rsidRPr="00FB6B0C">
        <w:t>The session leader is responsible for its content and the views shared are her or his own views.</w:t>
      </w:r>
      <w:r w:rsidR="00636E2A">
        <w:t xml:space="preserve"> The session leader will be assisted by a number of NLS Legal A</w:t>
      </w:r>
      <w:r w:rsidR="005E5E0F">
        <w:t>d</w:t>
      </w:r>
      <w:r w:rsidR="00E77B83">
        <w:t>vice Centre student volunteers.</w:t>
      </w:r>
    </w:p>
    <w:p w14:paraId="36289F78" w14:textId="77777777" w:rsidR="00E77B83" w:rsidRPr="00E77B83" w:rsidRDefault="00E77B83" w:rsidP="00E77B83">
      <w:pPr>
        <w:pStyle w:val="ListParagraph"/>
        <w:rPr>
          <w:rFonts w:ascii="&amp;quot" w:hAnsi="&amp;quot" w:hint="eastAsia"/>
          <w:color w:val="161A23"/>
        </w:rPr>
      </w:pPr>
    </w:p>
    <w:p w14:paraId="4F7A9AD4" w14:textId="77777777" w:rsidR="00636E2A" w:rsidRPr="00E77B83" w:rsidRDefault="00FB6B0C" w:rsidP="00E77B83">
      <w:pPr>
        <w:pStyle w:val="ListParagraph"/>
        <w:numPr>
          <w:ilvl w:val="0"/>
          <w:numId w:val="1"/>
        </w:numPr>
        <w:jc w:val="both"/>
        <w:rPr>
          <w:rFonts w:ascii="&amp;quot" w:hAnsi="&amp;quot" w:hint="eastAsia"/>
          <w:color w:val="161A23"/>
        </w:rPr>
      </w:pPr>
      <w:r w:rsidRPr="00636E2A">
        <w:t xml:space="preserve">The </w:t>
      </w:r>
      <w:r w:rsidR="00E77B83">
        <w:t>session</w:t>
      </w:r>
      <w:r w:rsidR="00636E2A" w:rsidRPr="00636E2A">
        <w:t xml:space="preserve"> is</w:t>
      </w:r>
      <w:r w:rsidRPr="00636E2A">
        <w:t xml:space="preserve"> a legal education resource</w:t>
      </w:r>
      <w:r w:rsidR="00F30D46">
        <w:t>, it does not constitute legal advice</w:t>
      </w:r>
      <w:r w:rsidRPr="00636E2A">
        <w:t xml:space="preserve"> and </w:t>
      </w:r>
      <w:r w:rsidR="00636E2A" w:rsidRPr="00636E2A">
        <w:t>is</w:t>
      </w:r>
      <w:r w:rsidRPr="00636E2A">
        <w:t xml:space="preserve"> not a substitute for taking legal</w:t>
      </w:r>
      <w:r w:rsidR="00636E2A">
        <w:t xml:space="preserve"> advice about a particular case.</w:t>
      </w:r>
      <w:r w:rsidR="00F30D46">
        <w:t xml:space="preserve"> </w:t>
      </w:r>
      <w:r w:rsidR="004B3790" w:rsidRPr="00E77B83">
        <w:rPr>
          <w:rFonts w:ascii="Calibri" w:hAnsi="Calibri" w:cs="Calibri"/>
          <w:color w:val="000000"/>
          <w:shd w:val="clear" w:color="auto" w:fill="FFFFFF"/>
        </w:rPr>
        <w:t>When asking a question, please do not provide any confidential information to us, including any details that might identify a matter or parties to it. Questions should be general about the law and/or practice.</w:t>
      </w:r>
    </w:p>
    <w:p w14:paraId="2D92A7DC" w14:textId="77777777" w:rsidR="004B3790" w:rsidRDefault="004B3790" w:rsidP="004B3790">
      <w:pPr>
        <w:pStyle w:val="ListParagraph"/>
        <w:jc w:val="both"/>
      </w:pPr>
    </w:p>
    <w:p w14:paraId="6E3E6B86" w14:textId="77777777" w:rsidR="00636E2A" w:rsidRDefault="00FB6B0C" w:rsidP="00E77B83">
      <w:pPr>
        <w:pStyle w:val="ListParagraph"/>
        <w:numPr>
          <w:ilvl w:val="0"/>
          <w:numId w:val="1"/>
        </w:numPr>
        <w:jc w:val="both"/>
      </w:pPr>
      <w:r w:rsidRPr="00636E2A">
        <w:t xml:space="preserve">The content of the </w:t>
      </w:r>
      <w:r w:rsidR="00E77B83">
        <w:t>session</w:t>
      </w:r>
      <w:r w:rsidRPr="00636E2A">
        <w:t xml:space="preserve"> is non-specific, taking the form of general comments on a particular area of law. Those comments are subjective and reflect the session leader’s understanding of the law at the time. The information may quickly become outdated.</w:t>
      </w:r>
    </w:p>
    <w:p w14:paraId="6BAFF441" w14:textId="77777777" w:rsidR="00636E2A" w:rsidRPr="00636E2A" w:rsidRDefault="00636E2A" w:rsidP="00636E2A">
      <w:pPr>
        <w:pStyle w:val="ListParagraph"/>
        <w:rPr>
          <w:rFonts w:ascii="&amp;quot" w:hAnsi="&amp;quot" w:hint="eastAsia"/>
          <w:color w:val="161A23"/>
        </w:rPr>
      </w:pPr>
    </w:p>
    <w:p w14:paraId="583A5620" w14:textId="77777777" w:rsidR="00636E2A" w:rsidRPr="00636E2A" w:rsidRDefault="00FB6B0C" w:rsidP="00E77B83">
      <w:pPr>
        <w:pStyle w:val="ListParagraph"/>
        <w:numPr>
          <w:ilvl w:val="0"/>
          <w:numId w:val="1"/>
        </w:numPr>
        <w:jc w:val="both"/>
      </w:pPr>
      <w:r w:rsidRPr="00B86C2B">
        <w:t xml:space="preserve">If you rely on the content of the </w:t>
      </w:r>
      <w:r w:rsidR="00E77B83">
        <w:t>session</w:t>
      </w:r>
      <w:r w:rsidRPr="00B86C2B">
        <w:t xml:space="preserve"> you do so at your own risk.</w:t>
      </w:r>
    </w:p>
    <w:p w14:paraId="5106F4D9" w14:textId="77777777" w:rsidR="00636E2A" w:rsidRPr="00636E2A" w:rsidRDefault="00636E2A" w:rsidP="00636E2A">
      <w:pPr>
        <w:pStyle w:val="ListParagraph"/>
        <w:rPr>
          <w:rFonts w:ascii="&amp;quot" w:hAnsi="&amp;quot" w:hint="eastAsia"/>
          <w:color w:val="161A23"/>
        </w:rPr>
      </w:pPr>
    </w:p>
    <w:p w14:paraId="12EBFFE7" w14:textId="77777777" w:rsidR="00636E2A" w:rsidRPr="00636E2A" w:rsidRDefault="00FB6B0C" w:rsidP="00636E2A">
      <w:pPr>
        <w:pStyle w:val="ListParagraph"/>
        <w:numPr>
          <w:ilvl w:val="0"/>
          <w:numId w:val="1"/>
        </w:numPr>
        <w:jc w:val="both"/>
      </w:pPr>
      <w:r w:rsidRPr="00636E2A">
        <w:t xml:space="preserve">Should you require legal advice about your particular circumstances or in a particular case, you can make an enquiry </w:t>
      </w:r>
      <w:r w:rsidR="00636E2A" w:rsidRPr="00636E2A">
        <w:t>to NLS L</w:t>
      </w:r>
      <w:r w:rsidR="00636E2A" w:rsidRPr="00636E2A">
        <w:rPr>
          <w:rFonts w:hint="eastAsia"/>
        </w:rPr>
        <w:t>e</w:t>
      </w:r>
      <w:r w:rsidR="00636E2A" w:rsidRPr="00636E2A">
        <w:t>gal Advice Centre by completing the online form that can be found at the following link:</w:t>
      </w:r>
      <w:r w:rsidR="00636E2A">
        <w:rPr>
          <w:rFonts w:ascii="&amp;quot" w:hAnsi="&amp;quot"/>
          <w:color w:val="161A23"/>
        </w:rPr>
        <w:t xml:space="preserve"> </w:t>
      </w:r>
      <w:hyperlink r:id="rId7" w:history="1">
        <w:r w:rsidR="00636E2A" w:rsidRPr="00F11267">
          <w:rPr>
            <w:rStyle w:val="Hyperlink"/>
            <w:rFonts w:ascii="&amp;quot" w:hAnsi="&amp;quot"/>
          </w:rPr>
          <w:t>https://www.ntu.ac.uk/forms/legal-advice-enquiry-form</w:t>
        </w:r>
      </w:hyperlink>
      <w:r w:rsidR="00636E2A">
        <w:rPr>
          <w:rFonts w:ascii="&amp;quot" w:hAnsi="&amp;quot"/>
          <w:color w:val="161A23"/>
        </w:rPr>
        <w:t xml:space="preserve"> </w:t>
      </w:r>
      <w:r w:rsidR="00636E2A" w:rsidRPr="00636E2A">
        <w:t>or by</w:t>
      </w:r>
      <w:r w:rsidR="00636E2A">
        <w:rPr>
          <w:rFonts w:ascii="&amp;quot" w:hAnsi="&amp;quot"/>
          <w:color w:val="161A23"/>
        </w:rPr>
        <w:t xml:space="preserve"> </w:t>
      </w:r>
      <w:r w:rsidR="00636E2A" w:rsidRPr="00636E2A">
        <w:t>sending an email to:</w:t>
      </w:r>
      <w:r w:rsidR="00636E2A">
        <w:rPr>
          <w:rFonts w:ascii="&amp;quot" w:hAnsi="&amp;quot"/>
          <w:color w:val="161A23"/>
        </w:rPr>
        <w:t xml:space="preserve"> </w:t>
      </w:r>
      <w:hyperlink r:id="rId8" w:history="1">
        <w:r w:rsidR="00636E2A" w:rsidRPr="00F11267">
          <w:rPr>
            <w:rStyle w:val="Hyperlink"/>
            <w:rFonts w:ascii="&amp;quot" w:hAnsi="&amp;quot"/>
          </w:rPr>
          <w:t>nls.legaladvicecentre@ntu.ac.uk</w:t>
        </w:r>
      </w:hyperlink>
      <w:r w:rsidR="00636E2A">
        <w:rPr>
          <w:rFonts w:ascii="&amp;quot" w:hAnsi="&amp;quot"/>
          <w:color w:val="161A23"/>
        </w:rPr>
        <w:t xml:space="preserve"> </w:t>
      </w:r>
    </w:p>
    <w:p w14:paraId="02C4F6F2" w14:textId="77777777" w:rsidR="00636E2A" w:rsidRPr="00636E2A" w:rsidRDefault="00636E2A" w:rsidP="00636E2A">
      <w:pPr>
        <w:pStyle w:val="ListParagraph"/>
        <w:rPr>
          <w:rFonts w:ascii="&amp;quot" w:hAnsi="&amp;quot" w:hint="eastAsia"/>
          <w:color w:val="161A23"/>
        </w:rPr>
      </w:pPr>
    </w:p>
    <w:p w14:paraId="594253F7" w14:textId="77777777" w:rsidR="00FB6B0C" w:rsidRPr="00636E2A" w:rsidRDefault="00FB6B0C" w:rsidP="00E77B83">
      <w:pPr>
        <w:pStyle w:val="ListParagraph"/>
        <w:numPr>
          <w:ilvl w:val="0"/>
          <w:numId w:val="1"/>
        </w:numPr>
        <w:jc w:val="both"/>
      </w:pPr>
      <w:r w:rsidRPr="00636E2A">
        <w:t xml:space="preserve">The session leader </w:t>
      </w:r>
      <w:r w:rsidR="00636E2A" w:rsidRPr="00636E2A">
        <w:t xml:space="preserve">and student volunteers </w:t>
      </w:r>
      <w:r w:rsidRPr="00636E2A">
        <w:t xml:space="preserve">conducting and presenting at the </w:t>
      </w:r>
      <w:r w:rsidR="00E77B83">
        <w:t>session</w:t>
      </w:r>
      <w:r w:rsidR="00636E2A">
        <w:t xml:space="preserve"> do</w:t>
      </w:r>
      <w:r w:rsidRPr="00636E2A">
        <w:t xml:space="preserve"> not accept any liability for any errors or omissions arising either:</w:t>
      </w:r>
    </w:p>
    <w:p w14:paraId="609C1175" w14:textId="77777777" w:rsidR="00FB6B0C" w:rsidRPr="00636E2A" w:rsidRDefault="00FB6B0C" w:rsidP="00636E2A">
      <w:pPr>
        <w:pStyle w:val="NormalWeb"/>
        <w:spacing w:before="0" w:beforeAutospacing="0"/>
        <w:ind w:firstLine="127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6E2A">
        <w:rPr>
          <w:rFonts w:asciiTheme="minorHAnsi" w:eastAsiaTheme="minorEastAsia" w:hAnsiTheme="minorHAnsi" w:cstheme="minorBidi"/>
          <w:sz w:val="22"/>
          <w:szCs w:val="22"/>
        </w:rPr>
        <w:t>a) in the content of the initial presentation, or</w:t>
      </w:r>
    </w:p>
    <w:p w14:paraId="5E56A778" w14:textId="77777777" w:rsidR="00FB6B0C" w:rsidRPr="00636E2A" w:rsidRDefault="00FB6B0C" w:rsidP="00636E2A">
      <w:pPr>
        <w:pStyle w:val="NormalWeb"/>
        <w:spacing w:before="0" w:beforeAutospacing="0"/>
        <w:ind w:firstLine="127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6E2A">
        <w:rPr>
          <w:rFonts w:asciiTheme="minorHAnsi" w:eastAsiaTheme="minorEastAsia" w:hAnsiTheme="minorHAnsi" w:cstheme="minorBidi"/>
          <w:sz w:val="22"/>
          <w:szCs w:val="22"/>
        </w:rPr>
        <w:t>b) in responses to questions about that presentation, or</w:t>
      </w:r>
    </w:p>
    <w:p w14:paraId="3D638B00" w14:textId="371E9068" w:rsidR="00FB6B0C" w:rsidRDefault="00FB6B0C" w:rsidP="00B86C2B">
      <w:pPr>
        <w:pStyle w:val="NormalWeb"/>
        <w:spacing w:before="0" w:beforeAutospacing="0"/>
        <w:ind w:firstLine="127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636E2A">
        <w:rPr>
          <w:rFonts w:asciiTheme="minorHAnsi" w:eastAsiaTheme="minorEastAsia" w:hAnsiTheme="minorHAnsi" w:cstheme="minorBidi"/>
          <w:sz w:val="22"/>
          <w:szCs w:val="22"/>
        </w:rPr>
        <w:t>c) within any legal educational materials made available to participants.</w:t>
      </w:r>
    </w:p>
    <w:p w14:paraId="66459C16" w14:textId="421E904F" w:rsidR="009118B0" w:rsidRDefault="009118B0" w:rsidP="009118B0">
      <w:pPr>
        <w:pStyle w:val="NormalWeb"/>
        <w:spacing w:before="0" w:beforeAutospacing="0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992F766" w14:textId="6C385D28" w:rsidR="009118B0" w:rsidRPr="009118B0" w:rsidRDefault="009118B0" w:rsidP="009118B0">
      <w:pPr>
        <w:pStyle w:val="NormalWeb"/>
        <w:spacing w:before="0" w:beforeAutospacing="0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9118B0">
        <w:rPr>
          <w:rFonts w:asciiTheme="minorHAnsi" w:eastAsiaTheme="minorEastAsia" w:hAnsiTheme="minorHAnsi" w:cstheme="minorBidi"/>
          <w:b/>
          <w:bCs/>
          <w:sz w:val="22"/>
          <w:szCs w:val="22"/>
        </w:rPr>
        <w:t>Privacy policy</w:t>
      </w:r>
    </w:p>
    <w:p w14:paraId="6F6EEF98" w14:textId="2CCFFCB6" w:rsidR="009118B0" w:rsidRPr="009118B0" w:rsidRDefault="009118B0" w:rsidP="009118B0">
      <w:pPr>
        <w:pStyle w:val="NormalWeb"/>
        <w:spacing w:before="0" w:before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The</w:t>
      </w:r>
      <w:r w:rsidRPr="009118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personal details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you provide when signing up for this session</w:t>
      </w:r>
      <w:r w:rsidRPr="009118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will be treated with respect and will be kept </w:t>
      </w:r>
      <w:proofErr w:type="gramStart"/>
      <w:r w:rsidRPr="009118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safe, and</w:t>
      </w:r>
      <w:proofErr w:type="gramEnd"/>
      <w:r w:rsidRPr="009118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 will never be sold to other third parties for commercial use. Please review NLS Legal Advice Centre’s </w:t>
      </w:r>
      <w:hyperlink r:id="rId9" w:tgtFrame="_blank" w:history="1">
        <w:r w:rsidRPr="009118B0">
          <w:rPr>
            <w:rStyle w:val="Hyperlink"/>
            <w:rFonts w:asciiTheme="minorHAnsi" w:hAnsiTheme="minorHAnsi" w:cstheme="minorHAnsi"/>
            <w:b/>
            <w:bCs/>
            <w:color w:val="0070C0"/>
            <w:sz w:val="22"/>
            <w:szCs w:val="22"/>
            <w:bdr w:val="none" w:sz="0" w:space="0" w:color="auto" w:frame="1"/>
            <w:shd w:val="clear" w:color="auto" w:fill="FFFFFF"/>
            <w:lang w:val="en-US"/>
          </w:rPr>
          <w:t>privacy statement</w:t>
        </w:r>
      </w:hyperlink>
      <w:r w:rsidRPr="009118B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US"/>
        </w:rPr>
        <w:t> for more information about how your data is used.</w:t>
      </w:r>
    </w:p>
    <w:sectPr w:rsidR="009118B0" w:rsidRPr="009118B0" w:rsidSect="00FB6B0C">
      <w:headerReference w:type="default" r:id="rId10"/>
      <w:pgSz w:w="11906" w:h="16838"/>
      <w:pgMar w:top="1440" w:right="1440" w:bottom="1440" w:left="1440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35AB" w14:textId="77777777" w:rsidR="00FB6B0C" w:rsidRDefault="00FB6B0C" w:rsidP="00FB6B0C">
      <w:pPr>
        <w:spacing w:after="0" w:line="240" w:lineRule="auto"/>
      </w:pPr>
      <w:r>
        <w:separator/>
      </w:r>
    </w:p>
  </w:endnote>
  <w:endnote w:type="continuationSeparator" w:id="0">
    <w:p w14:paraId="0B0D71DB" w14:textId="77777777" w:rsidR="00FB6B0C" w:rsidRDefault="00FB6B0C" w:rsidP="00FB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AA25C" w14:textId="77777777" w:rsidR="00FB6B0C" w:rsidRDefault="00FB6B0C" w:rsidP="00FB6B0C">
      <w:pPr>
        <w:spacing w:after="0" w:line="240" w:lineRule="auto"/>
      </w:pPr>
      <w:r>
        <w:separator/>
      </w:r>
    </w:p>
  </w:footnote>
  <w:footnote w:type="continuationSeparator" w:id="0">
    <w:p w14:paraId="1F903994" w14:textId="77777777" w:rsidR="00FB6B0C" w:rsidRDefault="00FB6B0C" w:rsidP="00FB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7FBA" w14:textId="77777777" w:rsidR="00FB6B0C" w:rsidRDefault="00FB6B0C" w:rsidP="00FB6B0C">
    <w:pPr>
      <w:pStyle w:val="Header"/>
      <w:ind w:right="110"/>
      <w:jc w:val="both"/>
      <w:rPr>
        <w:noProof/>
      </w:rPr>
    </w:pPr>
  </w:p>
  <w:p w14:paraId="0E5BBD6E" w14:textId="77777777" w:rsidR="00FB6B0C" w:rsidRDefault="00FB6B0C" w:rsidP="00FB6B0C">
    <w:pPr>
      <w:pStyle w:val="Header"/>
      <w:ind w:right="110"/>
      <w:jc w:val="both"/>
    </w:pPr>
    <w:r>
      <w:tab/>
    </w:r>
    <w:r>
      <w:tab/>
    </w:r>
    <w:r w:rsidRPr="00ED70BF">
      <w:rPr>
        <w:noProof/>
      </w:rPr>
      <w:drawing>
        <wp:inline distT="0" distB="0" distL="0" distR="0" wp14:anchorId="64F205D8" wp14:editId="33D71047">
          <wp:extent cx="2386813" cy="661035"/>
          <wp:effectExtent l="0" t="0" r="0" b="5715"/>
          <wp:docPr id="20" name="Picture 20" descr="D:\Profiles\martin.cook\AppData\Local\Microsoft\Windows\INetCache\Content.Outlook\KRWL0CNA\LA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martin.cook\AppData\Local\Microsoft\Windows\INetCache\Content.Outlook\KRWL0CNA\LAC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629" cy="71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3425"/>
    <w:multiLevelType w:val="hybridMultilevel"/>
    <w:tmpl w:val="B620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0C"/>
    <w:rsid w:val="003D1839"/>
    <w:rsid w:val="0049437C"/>
    <w:rsid w:val="004B3790"/>
    <w:rsid w:val="004D3B1F"/>
    <w:rsid w:val="005E5E0F"/>
    <w:rsid w:val="00636E2A"/>
    <w:rsid w:val="006C68C3"/>
    <w:rsid w:val="009118B0"/>
    <w:rsid w:val="00A06BAA"/>
    <w:rsid w:val="00AA6F42"/>
    <w:rsid w:val="00B86C2B"/>
    <w:rsid w:val="00C83ABE"/>
    <w:rsid w:val="00E77B83"/>
    <w:rsid w:val="00F0145F"/>
    <w:rsid w:val="00F30D46"/>
    <w:rsid w:val="00FB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23E3"/>
  <w15:chartTrackingRefBased/>
  <w15:docId w15:val="{7B909C43-A338-44EC-A1C1-DBE6C65B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B0C"/>
  </w:style>
  <w:style w:type="paragraph" w:styleId="Footer">
    <w:name w:val="footer"/>
    <w:basedOn w:val="Normal"/>
    <w:link w:val="FooterChar"/>
    <w:uiPriority w:val="99"/>
    <w:unhideWhenUsed/>
    <w:rsid w:val="00FB6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B0C"/>
  </w:style>
  <w:style w:type="paragraph" w:styleId="ListParagraph">
    <w:name w:val="List Paragraph"/>
    <w:basedOn w:val="Normal"/>
    <w:uiPriority w:val="34"/>
    <w:qFormat/>
    <w:rsid w:val="00FB6B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B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C"/>
    <w:rPr>
      <w:b/>
      <w:bCs/>
    </w:rPr>
  </w:style>
  <w:style w:type="character" w:styleId="Hyperlink">
    <w:name w:val="Hyperlink"/>
    <w:basedOn w:val="DefaultParagraphFont"/>
    <w:uiPriority w:val="99"/>
    <w:unhideWhenUsed/>
    <w:rsid w:val="00FB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s.legaladvicecentre@ntu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u.ac.uk/forms/legal-advice-enquiry-for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tu.ac.uk/policies/privacy-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laynez, Carlota</dc:creator>
  <cp:keywords/>
  <dc:description/>
  <cp:lastModifiedBy>Stuart, Jack</cp:lastModifiedBy>
  <cp:revision>2</cp:revision>
  <dcterms:created xsi:type="dcterms:W3CDTF">2021-06-17T09:26:00Z</dcterms:created>
  <dcterms:modified xsi:type="dcterms:W3CDTF">2021-06-17T09:26:00Z</dcterms:modified>
</cp:coreProperties>
</file>