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612" w:rsidRDefault="00D85612" w:rsidP="00D85612">
      <w:pPr>
        <w:spacing w:line="360" w:lineRule="atLeast"/>
        <w:jc w:val="both"/>
        <w:rPr>
          <w:rFonts w:ascii="Arial" w:eastAsia="Times New Roman" w:hAnsi="Arial" w:cs="Arial"/>
          <w:b/>
          <w:bCs/>
          <w:color w:val="000000"/>
          <w:sz w:val="24"/>
          <w:szCs w:val="24"/>
        </w:rPr>
      </w:pPr>
    </w:p>
    <w:p w:rsidR="00D85612" w:rsidRPr="00D85612" w:rsidRDefault="00D85612" w:rsidP="00D85612">
      <w:pPr>
        <w:spacing w:line="360" w:lineRule="atLeast"/>
        <w:jc w:val="both"/>
        <w:rPr>
          <w:rFonts w:ascii="Times New Roman" w:eastAsia="Times New Roman" w:hAnsi="Times New Roman" w:cs="Times New Roman"/>
          <w:color w:val="000000"/>
          <w:sz w:val="24"/>
          <w:szCs w:val="24"/>
        </w:rPr>
      </w:pPr>
      <w:r w:rsidRPr="00D85612">
        <w:rPr>
          <w:rFonts w:ascii="Arial" w:eastAsia="Times New Roman" w:hAnsi="Arial" w:cs="Arial"/>
          <w:b/>
          <w:bCs/>
          <w:color w:val="000000"/>
          <w:sz w:val="24"/>
          <w:szCs w:val="24"/>
        </w:rPr>
        <w:t>Written Evidence submitted by Olivier N. Yambo, PhD Candidate and Research Assistant</w:t>
      </w:r>
      <w:bookmarkStart w:id="0" w:name="_GoBack"/>
      <w:bookmarkEnd w:id="0"/>
      <w:r w:rsidRPr="00D85612">
        <w:rPr>
          <w:rFonts w:ascii="Arial" w:eastAsia="Times New Roman" w:hAnsi="Arial" w:cs="Arial"/>
          <w:b/>
          <w:bCs/>
          <w:color w:val="000000"/>
          <w:sz w:val="24"/>
          <w:szCs w:val="24"/>
        </w:rPr>
        <w:t>, Nottingham Trent University</w:t>
      </w:r>
    </w:p>
    <w:p w:rsidR="00D85612" w:rsidRPr="00D85612" w:rsidRDefault="00D85612" w:rsidP="00D85612">
      <w:pPr>
        <w:spacing w:line="360" w:lineRule="atLeast"/>
        <w:jc w:val="both"/>
        <w:rPr>
          <w:rFonts w:ascii="Times New Roman" w:eastAsia="Times New Roman" w:hAnsi="Times New Roman" w:cs="Times New Roman"/>
          <w:color w:val="000000"/>
          <w:sz w:val="24"/>
          <w:szCs w:val="24"/>
        </w:rPr>
      </w:pPr>
      <w:r w:rsidRPr="00D85612">
        <w:rPr>
          <w:rFonts w:ascii="Arial" w:eastAsia="Times New Roman" w:hAnsi="Arial" w:cs="Arial"/>
          <w:b/>
          <w:bCs/>
          <w:color w:val="000000"/>
          <w:sz w:val="24"/>
          <w:szCs w:val="24"/>
        </w:rPr>
        <w:t> </w:t>
      </w:r>
    </w:p>
    <w:p w:rsidR="00D85612" w:rsidRPr="00D85612" w:rsidRDefault="00D85612" w:rsidP="00D85612">
      <w:pPr>
        <w:numPr>
          <w:ilvl w:val="0"/>
          <w:numId w:val="1"/>
        </w:numPr>
        <w:spacing w:after="0" w:line="300" w:lineRule="atLeast"/>
        <w:ind w:left="267" w:firstLine="0"/>
        <w:jc w:val="both"/>
        <w:rPr>
          <w:rFonts w:ascii="Arial" w:eastAsia="Times New Roman" w:hAnsi="Arial" w:cs="Arial"/>
          <w:color w:val="000000"/>
          <w:sz w:val="20"/>
          <w:szCs w:val="20"/>
        </w:rPr>
      </w:pPr>
      <w:r w:rsidRPr="00D85612">
        <w:rPr>
          <w:rFonts w:ascii="Arial" w:eastAsia="Times New Roman" w:hAnsi="Arial" w:cs="Arial"/>
          <w:b/>
          <w:bCs/>
          <w:color w:val="000000"/>
          <w:sz w:val="32"/>
          <w:szCs w:val="32"/>
        </w:rPr>
        <w:t>Executive Summary</w:t>
      </w:r>
    </w:p>
    <w:p w:rsidR="00D85612" w:rsidRPr="00D85612" w:rsidRDefault="00D85612" w:rsidP="00D85612">
      <w:pPr>
        <w:spacing w:after="0" w:line="360" w:lineRule="atLeast"/>
        <w:ind w:left="567" w:hanging="283"/>
        <w:jc w:val="both"/>
        <w:rPr>
          <w:rFonts w:ascii="Times New Roman" w:eastAsia="Times New Roman" w:hAnsi="Times New Roman" w:cs="Times New Roman"/>
          <w:color w:val="000000"/>
          <w:sz w:val="24"/>
          <w:szCs w:val="24"/>
        </w:rPr>
      </w:pPr>
      <w:r w:rsidRPr="00D85612">
        <w:rPr>
          <w:rFonts w:ascii="Arial" w:eastAsia="Times New Roman" w:hAnsi="Arial" w:cs="Arial"/>
          <w:color w:val="000000"/>
          <w:sz w:val="20"/>
          <w:szCs w:val="20"/>
        </w:rPr>
        <w:t>1.1.</w:t>
      </w:r>
      <w:r w:rsidRPr="00D85612">
        <w:rPr>
          <w:rFonts w:ascii="Times New Roman" w:eastAsia="Times New Roman" w:hAnsi="Times New Roman" w:cs="Times New Roman"/>
          <w:color w:val="000000"/>
          <w:sz w:val="14"/>
          <w:szCs w:val="14"/>
        </w:rPr>
        <w:t>   </w:t>
      </w:r>
      <w:r w:rsidRPr="00D85612">
        <w:rPr>
          <w:rFonts w:ascii="Arial" w:eastAsia="Times New Roman" w:hAnsi="Arial" w:cs="Arial"/>
          <w:color w:val="000000"/>
          <w:sz w:val="24"/>
          <w:szCs w:val="24"/>
        </w:rPr>
        <w:t>This submission gives the author’s view and opinion on the following question: </w:t>
      </w:r>
      <w:r w:rsidRPr="00D85612">
        <w:rPr>
          <w:rFonts w:ascii="Arial" w:eastAsia="Times New Roman" w:hAnsi="Arial" w:cs="Arial"/>
          <w:i/>
          <w:iCs/>
          <w:color w:val="000000"/>
          <w:sz w:val="24"/>
          <w:szCs w:val="24"/>
        </w:rPr>
        <w:t xml:space="preserve">What outcomes and protections should the UK Government be pushing for at the forthcoming UN negotiations on the conservation and sustainable use of marine biological diversity in the world’s </w:t>
      </w:r>
      <w:proofErr w:type="gramStart"/>
      <w:r w:rsidRPr="00D85612">
        <w:rPr>
          <w:rFonts w:ascii="Arial" w:eastAsia="Times New Roman" w:hAnsi="Arial" w:cs="Arial"/>
          <w:i/>
          <w:iCs/>
          <w:color w:val="000000"/>
          <w:sz w:val="24"/>
          <w:szCs w:val="24"/>
        </w:rPr>
        <w:t>oceans?</w:t>
      </w:r>
      <w:proofErr w:type="gramEnd"/>
    </w:p>
    <w:p w:rsidR="00D85612" w:rsidRPr="00D85612" w:rsidRDefault="00D85612" w:rsidP="00D85612">
      <w:pPr>
        <w:spacing w:after="0" w:line="360" w:lineRule="atLeast"/>
        <w:ind w:left="567"/>
        <w:jc w:val="both"/>
        <w:rPr>
          <w:rFonts w:ascii="Times New Roman" w:eastAsia="Times New Roman" w:hAnsi="Times New Roman" w:cs="Times New Roman"/>
          <w:color w:val="000000"/>
          <w:sz w:val="24"/>
          <w:szCs w:val="24"/>
        </w:rPr>
      </w:pPr>
      <w:r w:rsidRPr="00D85612">
        <w:rPr>
          <w:rFonts w:ascii="Arial" w:eastAsia="Times New Roman" w:hAnsi="Arial" w:cs="Arial"/>
          <w:b/>
          <w:bCs/>
          <w:i/>
          <w:iCs/>
          <w:color w:val="000000"/>
          <w:sz w:val="24"/>
          <w:szCs w:val="24"/>
        </w:rPr>
        <w:t> </w:t>
      </w:r>
    </w:p>
    <w:p w:rsidR="00D85612" w:rsidRPr="00D85612" w:rsidRDefault="00D85612" w:rsidP="00D85612">
      <w:pPr>
        <w:spacing w:after="0" w:line="360" w:lineRule="atLeast"/>
        <w:ind w:left="567" w:hanging="283"/>
        <w:jc w:val="both"/>
        <w:rPr>
          <w:rFonts w:ascii="Times New Roman" w:eastAsia="Times New Roman" w:hAnsi="Times New Roman" w:cs="Times New Roman"/>
          <w:color w:val="000000"/>
          <w:sz w:val="24"/>
          <w:szCs w:val="24"/>
        </w:rPr>
      </w:pPr>
      <w:r w:rsidRPr="00D85612">
        <w:rPr>
          <w:rFonts w:ascii="Arial" w:eastAsia="Times New Roman" w:hAnsi="Arial" w:cs="Arial"/>
          <w:color w:val="000000"/>
          <w:sz w:val="20"/>
          <w:szCs w:val="20"/>
        </w:rPr>
        <w:t>1.2.</w:t>
      </w:r>
      <w:r w:rsidRPr="00D85612">
        <w:rPr>
          <w:rFonts w:ascii="Times New Roman" w:eastAsia="Times New Roman" w:hAnsi="Times New Roman" w:cs="Times New Roman"/>
          <w:color w:val="000000"/>
          <w:sz w:val="14"/>
          <w:szCs w:val="14"/>
        </w:rPr>
        <w:t>   </w:t>
      </w:r>
      <w:r w:rsidRPr="00D85612">
        <w:rPr>
          <w:rFonts w:ascii="Arial" w:eastAsia="Times New Roman" w:hAnsi="Arial" w:cs="Arial"/>
          <w:color w:val="000000"/>
          <w:sz w:val="24"/>
          <w:szCs w:val="24"/>
        </w:rPr>
        <w:t xml:space="preserve">Despite work undertake to date by United Nations Convention on the Law of the Sea regarding unregulated activities at </w:t>
      </w:r>
      <w:proofErr w:type="gramStart"/>
      <w:r w:rsidRPr="00D85612">
        <w:rPr>
          <w:rFonts w:ascii="Arial" w:eastAsia="Times New Roman" w:hAnsi="Arial" w:cs="Arial"/>
          <w:color w:val="000000"/>
          <w:sz w:val="24"/>
          <w:szCs w:val="24"/>
        </w:rPr>
        <w:t>sea,</w:t>
      </w:r>
      <w:proofErr w:type="gramEnd"/>
      <w:r w:rsidRPr="00D85612">
        <w:rPr>
          <w:rFonts w:ascii="Arial" w:eastAsia="Times New Roman" w:hAnsi="Arial" w:cs="Arial"/>
          <w:color w:val="000000"/>
          <w:sz w:val="24"/>
          <w:szCs w:val="24"/>
        </w:rPr>
        <w:t xml:space="preserve"> especially in areas beyond national jurisdiction (ABNJ) further work is required.</w:t>
      </w:r>
    </w:p>
    <w:p w:rsidR="00D85612" w:rsidRPr="00D85612" w:rsidRDefault="00D85612" w:rsidP="00D85612">
      <w:pPr>
        <w:spacing w:after="0" w:line="360" w:lineRule="atLeast"/>
        <w:ind w:left="567"/>
        <w:jc w:val="both"/>
        <w:rPr>
          <w:rFonts w:ascii="Times New Roman" w:eastAsia="Times New Roman" w:hAnsi="Times New Roman" w:cs="Times New Roman"/>
          <w:color w:val="000000"/>
          <w:sz w:val="24"/>
          <w:szCs w:val="24"/>
        </w:rPr>
      </w:pPr>
      <w:r w:rsidRPr="00D85612">
        <w:rPr>
          <w:rFonts w:ascii="Arial" w:eastAsia="Times New Roman" w:hAnsi="Arial" w:cs="Arial"/>
          <w:color w:val="000000"/>
          <w:sz w:val="24"/>
          <w:szCs w:val="24"/>
        </w:rPr>
        <w:t> </w:t>
      </w:r>
    </w:p>
    <w:p w:rsidR="00D85612" w:rsidRPr="00D85612" w:rsidRDefault="00D85612" w:rsidP="00D85612">
      <w:pPr>
        <w:spacing w:after="0" w:line="360" w:lineRule="atLeast"/>
        <w:ind w:left="567" w:hanging="283"/>
        <w:jc w:val="both"/>
        <w:rPr>
          <w:rFonts w:ascii="Times New Roman" w:eastAsia="Times New Roman" w:hAnsi="Times New Roman" w:cs="Times New Roman"/>
          <w:color w:val="000000"/>
          <w:sz w:val="24"/>
          <w:szCs w:val="24"/>
        </w:rPr>
      </w:pPr>
      <w:r w:rsidRPr="00D85612">
        <w:rPr>
          <w:rFonts w:ascii="Arial" w:eastAsia="Times New Roman" w:hAnsi="Arial" w:cs="Arial"/>
          <w:color w:val="000000"/>
          <w:sz w:val="20"/>
          <w:szCs w:val="20"/>
        </w:rPr>
        <w:t>1.3.</w:t>
      </w:r>
      <w:r w:rsidRPr="00D85612">
        <w:rPr>
          <w:rFonts w:ascii="Times New Roman" w:eastAsia="Times New Roman" w:hAnsi="Times New Roman" w:cs="Times New Roman"/>
          <w:color w:val="000000"/>
          <w:sz w:val="14"/>
          <w:szCs w:val="14"/>
        </w:rPr>
        <w:t>   </w:t>
      </w:r>
      <w:r w:rsidRPr="00D85612">
        <w:rPr>
          <w:rFonts w:ascii="Arial" w:eastAsia="Times New Roman" w:hAnsi="Arial" w:cs="Arial"/>
          <w:color w:val="000000"/>
          <w:sz w:val="24"/>
          <w:szCs w:val="24"/>
        </w:rPr>
        <w:t xml:space="preserve">Specific issues must be resolved with work required to create the best vehicle to manage and oversee the commercial exploitation of marine genetic resources in ABNJ. This submission will outline and </w:t>
      </w:r>
      <w:proofErr w:type="gramStart"/>
      <w:r w:rsidRPr="00D85612">
        <w:rPr>
          <w:rFonts w:ascii="Arial" w:eastAsia="Times New Roman" w:hAnsi="Arial" w:cs="Arial"/>
          <w:color w:val="000000"/>
          <w:sz w:val="24"/>
          <w:szCs w:val="24"/>
        </w:rPr>
        <w:t>critique</w:t>
      </w:r>
      <w:proofErr w:type="gramEnd"/>
      <w:r w:rsidRPr="00D85612">
        <w:rPr>
          <w:rFonts w:ascii="Arial" w:eastAsia="Times New Roman" w:hAnsi="Arial" w:cs="Arial"/>
          <w:color w:val="000000"/>
          <w:sz w:val="24"/>
          <w:szCs w:val="24"/>
        </w:rPr>
        <w:t xml:space="preserve"> the options available to the UK and other sovereign powers.</w:t>
      </w:r>
    </w:p>
    <w:p w:rsidR="00D85612" w:rsidRPr="00D85612" w:rsidRDefault="00D85612" w:rsidP="00D85612">
      <w:pPr>
        <w:spacing w:after="0" w:line="360" w:lineRule="atLeast"/>
        <w:ind w:left="720"/>
        <w:jc w:val="both"/>
        <w:rPr>
          <w:rFonts w:ascii="Times New Roman" w:eastAsia="Times New Roman" w:hAnsi="Times New Roman" w:cs="Times New Roman"/>
          <w:color w:val="000000"/>
          <w:sz w:val="24"/>
          <w:szCs w:val="24"/>
        </w:rPr>
      </w:pPr>
      <w:r w:rsidRPr="00D85612">
        <w:rPr>
          <w:rFonts w:ascii="Arial" w:eastAsia="Times New Roman" w:hAnsi="Arial" w:cs="Arial"/>
          <w:b/>
          <w:bCs/>
          <w:color w:val="000000"/>
          <w:sz w:val="24"/>
          <w:szCs w:val="24"/>
        </w:rPr>
        <w:t> </w:t>
      </w:r>
    </w:p>
    <w:p w:rsidR="00D85612" w:rsidRPr="00D85612" w:rsidRDefault="00D85612" w:rsidP="00D85612">
      <w:pPr>
        <w:spacing w:after="0" w:line="360" w:lineRule="atLeast"/>
        <w:ind w:left="567"/>
        <w:jc w:val="both"/>
        <w:rPr>
          <w:rFonts w:ascii="Times New Roman" w:eastAsia="Times New Roman" w:hAnsi="Times New Roman" w:cs="Times New Roman"/>
          <w:color w:val="000000"/>
          <w:sz w:val="24"/>
          <w:szCs w:val="24"/>
        </w:rPr>
      </w:pPr>
      <w:r w:rsidRPr="00D85612">
        <w:rPr>
          <w:rFonts w:ascii="Arial" w:eastAsia="Times New Roman" w:hAnsi="Arial" w:cs="Arial"/>
          <w:b/>
          <w:bCs/>
          <w:color w:val="000000"/>
          <w:sz w:val="24"/>
          <w:szCs w:val="24"/>
        </w:rPr>
        <w:t> </w:t>
      </w:r>
    </w:p>
    <w:p w:rsidR="00D85612" w:rsidRPr="00D85612" w:rsidRDefault="00D85612" w:rsidP="00D85612">
      <w:pPr>
        <w:numPr>
          <w:ilvl w:val="0"/>
          <w:numId w:val="2"/>
        </w:numPr>
        <w:spacing w:after="0" w:line="300" w:lineRule="atLeast"/>
        <w:ind w:left="267" w:firstLine="0"/>
        <w:jc w:val="both"/>
        <w:rPr>
          <w:rFonts w:ascii="Arial" w:eastAsia="Times New Roman" w:hAnsi="Arial" w:cs="Arial"/>
          <w:color w:val="000000"/>
          <w:sz w:val="20"/>
          <w:szCs w:val="20"/>
        </w:rPr>
      </w:pPr>
      <w:r w:rsidRPr="00D85612">
        <w:rPr>
          <w:rFonts w:ascii="Arial" w:eastAsia="Times New Roman" w:hAnsi="Arial" w:cs="Arial"/>
          <w:b/>
          <w:bCs/>
          <w:color w:val="000000"/>
          <w:sz w:val="32"/>
          <w:szCs w:val="32"/>
        </w:rPr>
        <w:t>About the Author</w:t>
      </w:r>
    </w:p>
    <w:p w:rsidR="00D85612" w:rsidRPr="00D85612" w:rsidRDefault="00D85612" w:rsidP="00D85612">
      <w:pPr>
        <w:spacing w:after="0" w:line="360" w:lineRule="atLeast"/>
        <w:ind w:left="567" w:hanging="283"/>
        <w:jc w:val="both"/>
        <w:rPr>
          <w:rFonts w:ascii="Times New Roman" w:eastAsia="Times New Roman" w:hAnsi="Times New Roman" w:cs="Times New Roman"/>
          <w:color w:val="000000"/>
          <w:sz w:val="24"/>
          <w:szCs w:val="24"/>
        </w:rPr>
      </w:pPr>
      <w:r w:rsidRPr="00D85612">
        <w:rPr>
          <w:rFonts w:ascii="Arial" w:eastAsia="Times New Roman" w:hAnsi="Arial" w:cs="Arial"/>
          <w:color w:val="000000"/>
          <w:sz w:val="20"/>
          <w:szCs w:val="20"/>
        </w:rPr>
        <w:t>2.1.</w:t>
      </w:r>
      <w:r w:rsidRPr="00D85612">
        <w:rPr>
          <w:rFonts w:ascii="Times New Roman" w:eastAsia="Times New Roman" w:hAnsi="Times New Roman" w:cs="Times New Roman"/>
          <w:color w:val="000000"/>
          <w:sz w:val="14"/>
          <w:szCs w:val="14"/>
        </w:rPr>
        <w:t>   </w:t>
      </w:r>
      <w:r w:rsidRPr="00D85612">
        <w:rPr>
          <w:rFonts w:ascii="Arial" w:eastAsia="Times New Roman" w:hAnsi="Arial" w:cs="Arial"/>
          <w:color w:val="000000"/>
          <w:sz w:val="24"/>
          <w:szCs w:val="24"/>
        </w:rPr>
        <w:t>Olivier N. Yambo is a PhD candidate at Nottingham Law School, </w:t>
      </w:r>
      <w:r w:rsidRPr="00D85612">
        <w:rPr>
          <w:rFonts w:ascii="Arial" w:eastAsia="Times New Roman" w:hAnsi="Arial" w:cs="Arial"/>
          <w:color w:val="333333"/>
          <w:sz w:val="24"/>
          <w:szCs w:val="24"/>
        </w:rPr>
        <w:t>coordinator and research assistant for the Centre for Marine Ecological Resilience and Geological Resources. His doctoral research investigates whether </w:t>
      </w:r>
      <w:r w:rsidRPr="00D85612">
        <w:rPr>
          <w:rFonts w:ascii="Arial" w:eastAsia="Times New Roman" w:hAnsi="Arial" w:cs="Arial"/>
          <w:color w:val="000000"/>
          <w:sz w:val="24"/>
          <w:szCs w:val="24"/>
        </w:rPr>
        <w:t>the terms conservation and sustainable use reflect a single norm of customary international law when applied in the context of marine biodiversity in areas beyond national jurisdiction. Oliver has a strong research interest with respect to issues related to conservation and sustainable use of marine biodiversity in areas beyond national jurisdiction.</w:t>
      </w:r>
    </w:p>
    <w:p w:rsidR="00D85612" w:rsidRPr="00D85612" w:rsidRDefault="00D85612" w:rsidP="00D85612">
      <w:pPr>
        <w:spacing w:after="0" w:line="360" w:lineRule="atLeast"/>
        <w:ind w:left="567"/>
        <w:jc w:val="both"/>
        <w:rPr>
          <w:rFonts w:ascii="Times New Roman" w:eastAsia="Times New Roman" w:hAnsi="Times New Roman" w:cs="Times New Roman"/>
          <w:color w:val="000000"/>
          <w:sz w:val="24"/>
          <w:szCs w:val="24"/>
        </w:rPr>
      </w:pPr>
      <w:r w:rsidRPr="00D85612">
        <w:rPr>
          <w:rFonts w:ascii="Arial" w:eastAsia="Times New Roman" w:hAnsi="Arial" w:cs="Arial"/>
          <w:b/>
          <w:bCs/>
          <w:color w:val="000000"/>
          <w:sz w:val="24"/>
          <w:szCs w:val="24"/>
        </w:rPr>
        <w:t> </w:t>
      </w:r>
    </w:p>
    <w:p w:rsidR="00D85612" w:rsidRPr="00D85612" w:rsidRDefault="00D85612" w:rsidP="00D85612">
      <w:pPr>
        <w:numPr>
          <w:ilvl w:val="0"/>
          <w:numId w:val="3"/>
        </w:numPr>
        <w:spacing w:after="0" w:line="300" w:lineRule="atLeast"/>
        <w:ind w:left="267" w:firstLine="0"/>
        <w:jc w:val="both"/>
        <w:rPr>
          <w:rFonts w:ascii="Arial" w:eastAsia="Times New Roman" w:hAnsi="Arial" w:cs="Arial"/>
          <w:color w:val="000000"/>
          <w:sz w:val="20"/>
          <w:szCs w:val="20"/>
        </w:rPr>
      </w:pPr>
      <w:r w:rsidRPr="00D85612">
        <w:rPr>
          <w:rFonts w:ascii="Arial" w:eastAsia="Times New Roman" w:hAnsi="Arial" w:cs="Arial"/>
          <w:b/>
          <w:bCs/>
          <w:color w:val="000000"/>
          <w:sz w:val="32"/>
          <w:szCs w:val="32"/>
        </w:rPr>
        <w:t>Submission</w:t>
      </w:r>
    </w:p>
    <w:p w:rsidR="00D85612" w:rsidRPr="00D85612" w:rsidRDefault="00D85612" w:rsidP="00D85612">
      <w:pPr>
        <w:spacing w:line="360" w:lineRule="atLeast"/>
        <w:ind w:left="567" w:hanging="283"/>
        <w:jc w:val="both"/>
        <w:rPr>
          <w:rFonts w:ascii="Times New Roman" w:eastAsia="Times New Roman" w:hAnsi="Times New Roman" w:cs="Times New Roman"/>
          <w:color w:val="000000"/>
          <w:sz w:val="24"/>
          <w:szCs w:val="24"/>
        </w:rPr>
      </w:pPr>
      <w:r w:rsidRPr="00D85612">
        <w:rPr>
          <w:rFonts w:ascii="Arial" w:eastAsia="Times New Roman" w:hAnsi="Arial" w:cs="Arial"/>
          <w:color w:val="000000"/>
          <w:sz w:val="20"/>
          <w:szCs w:val="20"/>
        </w:rPr>
        <w:t>3.1.</w:t>
      </w:r>
      <w:r w:rsidRPr="00D85612">
        <w:rPr>
          <w:rFonts w:ascii="Times New Roman" w:eastAsia="Times New Roman" w:hAnsi="Times New Roman" w:cs="Times New Roman"/>
          <w:color w:val="000000"/>
          <w:sz w:val="14"/>
          <w:szCs w:val="14"/>
        </w:rPr>
        <w:t>   </w:t>
      </w:r>
      <w:r w:rsidRPr="00D85612">
        <w:rPr>
          <w:rFonts w:ascii="Arial" w:eastAsia="Times New Roman" w:hAnsi="Arial" w:cs="Arial"/>
          <w:color w:val="000000"/>
          <w:sz w:val="24"/>
          <w:szCs w:val="24"/>
        </w:rPr>
        <w:t>What outcomes and protections should the UK Government be pushing for at the forthcoming UN negotiations on the conservation and sustainable use of marine biological diversity in the world’s oceans?</w:t>
      </w:r>
    </w:p>
    <w:p w:rsidR="00D85612" w:rsidRPr="00D85612" w:rsidRDefault="00D85612" w:rsidP="00D85612">
      <w:pPr>
        <w:spacing w:line="360" w:lineRule="atLeast"/>
        <w:ind w:left="567" w:hanging="283"/>
        <w:jc w:val="both"/>
        <w:rPr>
          <w:rFonts w:ascii="Times New Roman" w:eastAsia="Times New Roman" w:hAnsi="Times New Roman" w:cs="Times New Roman"/>
          <w:color w:val="000000"/>
          <w:sz w:val="24"/>
          <w:szCs w:val="24"/>
        </w:rPr>
      </w:pPr>
      <w:r w:rsidRPr="00D85612">
        <w:rPr>
          <w:rFonts w:ascii="Arial" w:eastAsia="Times New Roman" w:hAnsi="Arial" w:cs="Arial"/>
          <w:b/>
          <w:bCs/>
          <w:color w:val="000000"/>
          <w:sz w:val="24"/>
          <w:szCs w:val="24"/>
        </w:rPr>
        <w:t> </w:t>
      </w:r>
    </w:p>
    <w:p w:rsidR="00D85612" w:rsidRPr="00D85612" w:rsidRDefault="00D85612" w:rsidP="00D85612">
      <w:pPr>
        <w:spacing w:after="0" w:line="360" w:lineRule="atLeast"/>
        <w:ind w:left="567" w:hanging="283"/>
        <w:jc w:val="both"/>
        <w:rPr>
          <w:rFonts w:ascii="Times New Roman" w:eastAsia="Times New Roman" w:hAnsi="Times New Roman" w:cs="Times New Roman"/>
          <w:color w:val="000000"/>
          <w:sz w:val="24"/>
          <w:szCs w:val="24"/>
        </w:rPr>
      </w:pPr>
      <w:r w:rsidRPr="00D85612">
        <w:rPr>
          <w:rFonts w:ascii="Arial" w:eastAsia="Times New Roman" w:hAnsi="Arial" w:cs="Arial"/>
          <w:color w:val="000000"/>
          <w:sz w:val="20"/>
          <w:szCs w:val="20"/>
        </w:rPr>
        <w:lastRenderedPageBreak/>
        <w:t>3.2.</w:t>
      </w:r>
      <w:r w:rsidRPr="00D85612">
        <w:rPr>
          <w:rFonts w:ascii="Times New Roman" w:eastAsia="Times New Roman" w:hAnsi="Times New Roman" w:cs="Times New Roman"/>
          <w:color w:val="000000"/>
          <w:sz w:val="14"/>
          <w:szCs w:val="14"/>
        </w:rPr>
        <w:t>   </w:t>
      </w:r>
      <w:r w:rsidRPr="00D85612">
        <w:rPr>
          <w:rFonts w:ascii="Arial" w:eastAsia="Times New Roman" w:hAnsi="Arial" w:cs="Arial"/>
          <w:color w:val="000000"/>
          <w:sz w:val="24"/>
          <w:szCs w:val="24"/>
        </w:rPr>
        <w:t xml:space="preserve">The last decade and a half </w:t>
      </w:r>
      <w:proofErr w:type="gramStart"/>
      <w:r w:rsidRPr="00D85612">
        <w:rPr>
          <w:rFonts w:ascii="Arial" w:eastAsia="Times New Roman" w:hAnsi="Arial" w:cs="Arial"/>
          <w:color w:val="000000"/>
          <w:sz w:val="24"/>
          <w:szCs w:val="24"/>
        </w:rPr>
        <w:t>has been marked</w:t>
      </w:r>
      <w:proofErr w:type="gramEnd"/>
      <w:r w:rsidRPr="00D85612">
        <w:rPr>
          <w:rFonts w:ascii="Arial" w:eastAsia="Times New Roman" w:hAnsi="Arial" w:cs="Arial"/>
          <w:color w:val="000000"/>
          <w:sz w:val="24"/>
          <w:szCs w:val="24"/>
        </w:rPr>
        <w:t xml:space="preserve"> by tangible efforts on the part of the world community to address unregulated activities at sea, especially in areas beyond national jurisdiction (ABNJ). The outcome of these efforts </w:t>
      </w:r>
      <w:proofErr w:type="gramStart"/>
      <w:r w:rsidRPr="00D85612">
        <w:rPr>
          <w:rFonts w:ascii="Arial" w:eastAsia="Times New Roman" w:hAnsi="Arial" w:cs="Arial"/>
          <w:color w:val="000000"/>
          <w:sz w:val="24"/>
          <w:szCs w:val="24"/>
        </w:rPr>
        <w:t>has been reflected</w:t>
      </w:r>
      <w:proofErr w:type="gramEnd"/>
      <w:r w:rsidRPr="00D85612">
        <w:rPr>
          <w:rFonts w:ascii="Arial" w:eastAsia="Times New Roman" w:hAnsi="Arial" w:cs="Arial"/>
          <w:color w:val="000000"/>
          <w:sz w:val="24"/>
          <w:szCs w:val="24"/>
        </w:rPr>
        <w:t xml:space="preserve"> in the ongoing negotiations on the development of a legally binding instrument under the United Nations Convention on the Law of the Sea (UNCLOS). The future instrument, which </w:t>
      </w:r>
      <w:proofErr w:type="gramStart"/>
      <w:r w:rsidRPr="00D85612">
        <w:rPr>
          <w:rFonts w:ascii="Arial" w:eastAsia="Times New Roman" w:hAnsi="Arial" w:cs="Arial"/>
          <w:color w:val="000000"/>
          <w:sz w:val="24"/>
          <w:szCs w:val="24"/>
        </w:rPr>
        <w:t>is currently developed</w:t>
      </w:r>
      <w:proofErr w:type="gramEnd"/>
      <w:r w:rsidRPr="00D85612">
        <w:rPr>
          <w:rFonts w:ascii="Arial" w:eastAsia="Times New Roman" w:hAnsi="Arial" w:cs="Arial"/>
          <w:color w:val="000000"/>
          <w:sz w:val="24"/>
          <w:szCs w:val="24"/>
        </w:rPr>
        <w:t xml:space="preserve"> at the United Nations General Assembly (UNGA), aims to provide a legal framework for the conservation and sustainable use of marine biodiversity in ABNJ. </w:t>
      </w:r>
    </w:p>
    <w:p w:rsidR="00D85612" w:rsidRPr="00D85612" w:rsidRDefault="00D85612" w:rsidP="00D85612">
      <w:pPr>
        <w:spacing w:after="0" w:line="360" w:lineRule="atLeast"/>
        <w:ind w:left="567" w:hanging="283"/>
        <w:jc w:val="both"/>
        <w:rPr>
          <w:rFonts w:ascii="Times New Roman" w:eastAsia="Times New Roman" w:hAnsi="Times New Roman" w:cs="Times New Roman"/>
          <w:color w:val="000000"/>
          <w:sz w:val="24"/>
          <w:szCs w:val="24"/>
        </w:rPr>
      </w:pPr>
      <w:r w:rsidRPr="00D85612">
        <w:rPr>
          <w:rFonts w:ascii="Arial" w:eastAsia="Times New Roman" w:hAnsi="Arial" w:cs="Arial"/>
          <w:color w:val="000000"/>
          <w:sz w:val="24"/>
          <w:szCs w:val="24"/>
        </w:rPr>
        <w:t> </w:t>
      </w:r>
    </w:p>
    <w:p w:rsidR="00D85612" w:rsidRPr="00D85612" w:rsidRDefault="00D85612" w:rsidP="00D85612">
      <w:pPr>
        <w:spacing w:after="0" w:line="360" w:lineRule="atLeast"/>
        <w:ind w:left="567" w:hanging="283"/>
        <w:jc w:val="both"/>
        <w:rPr>
          <w:rFonts w:ascii="Times New Roman" w:eastAsia="Times New Roman" w:hAnsi="Times New Roman" w:cs="Times New Roman"/>
          <w:color w:val="000000"/>
          <w:sz w:val="24"/>
          <w:szCs w:val="24"/>
        </w:rPr>
      </w:pPr>
      <w:r w:rsidRPr="00D85612">
        <w:rPr>
          <w:rFonts w:ascii="Arial" w:eastAsia="Times New Roman" w:hAnsi="Arial" w:cs="Arial"/>
          <w:color w:val="000000"/>
          <w:sz w:val="20"/>
          <w:szCs w:val="20"/>
        </w:rPr>
        <w:t>3.3.</w:t>
      </w:r>
      <w:r w:rsidRPr="00D85612">
        <w:rPr>
          <w:rFonts w:ascii="Times New Roman" w:eastAsia="Times New Roman" w:hAnsi="Times New Roman" w:cs="Times New Roman"/>
          <w:color w:val="000000"/>
          <w:sz w:val="14"/>
          <w:szCs w:val="14"/>
        </w:rPr>
        <w:t>   </w:t>
      </w:r>
      <w:r w:rsidRPr="00D85612">
        <w:rPr>
          <w:rFonts w:ascii="Arial" w:eastAsia="Times New Roman" w:hAnsi="Arial" w:cs="Arial"/>
          <w:color w:val="000000"/>
          <w:sz w:val="24"/>
          <w:szCs w:val="24"/>
        </w:rPr>
        <w:t xml:space="preserve">Although significant progress </w:t>
      </w:r>
      <w:proofErr w:type="gramStart"/>
      <w:r w:rsidRPr="00D85612">
        <w:rPr>
          <w:rFonts w:ascii="Arial" w:eastAsia="Times New Roman" w:hAnsi="Arial" w:cs="Arial"/>
          <w:color w:val="000000"/>
          <w:sz w:val="24"/>
          <w:szCs w:val="24"/>
        </w:rPr>
        <w:t>has been made</w:t>
      </w:r>
      <w:proofErr w:type="gramEnd"/>
      <w:r w:rsidRPr="00D85612">
        <w:rPr>
          <w:rFonts w:ascii="Arial" w:eastAsia="Times New Roman" w:hAnsi="Arial" w:cs="Arial"/>
          <w:color w:val="000000"/>
          <w:sz w:val="24"/>
          <w:szCs w:val="24"/>
        </w:rPr>
        <w:t xml:space="preserve"> as part of the negotiations in the UNGA, there are still important issues that need to be addressed.  One of these issues is that it is not yet clear whether a new entity </w:t>
      </w:r>
      <w:proofErr w:type="gramStart"/>
      <w:r w:rsidRPr="00D85612">
        <w:rPr>
          <w:rFonts w:ascii="Arial" w:eastAsia="Times New Roman" w:hAnsi="Arial" w:cs="Arial"/>
          <w:color w:val="000000"/>
          <w:sz w:val="24"/>
          <w:szCs w:val="24"/>
        </w:rPr>
        <w:t>should be created</w:t>
      </w:r>
      <w:proofErr w:type="gramEnd"/>
      <w:r w:rsidRPr="00D85612">
        <w:rPr>
          <w:rFonts w:ascii="Arial" w:eastAsia="Times New Roman" w:hAnsi="Arial" w:cs="Arial"/>
          <w:color w:val="000000"/>
          <w:sz w:val="24"/>
          <w:szCs w:val="24"/>
        </w:rPr>
        <w:t> under the future instrument, instead of expanding the mandate of one, which already exists, to manage and oversee the commercial exploitation of marine genetic resources in ABNJ as well as the sharing of benefits arising from such activity.</w:t>
      </w:r>
    </w:p>
    <w:p w:rsidR="00D85612" w:rsidRPr="00D85612" w:rsidRDefault="00D85612" w:rsidP="00D85612">
      <w:pPr>
        <w:spacing w:after="0" w:line="360" w:lineRule="atLeast"/>
        <w:ind w:left="567" w:hanging="283"/>
        <w:jc w:val="both"/>
        <w:rPr>
          <w:rFonts w:ascii="Times New Roman" w:eastAsia="Times New Roman" w:hAnsi="Times New Roman" w:cs="Times New Roman"/>
          <w:color w:val="000000"/>
          <w:sz w:val="24"/>
          <w:szCs w:val="24"/>
        </w:rPr>
      </w:pPr>
      <w:r w:rsidRPr="00D85612">
        <w:rPr>
          <w:rFonts w:ascii="Arial" w:eastAsia="Times New Roman" w:hAnsi="Arial" w:cs="Arial"/>
          <w:color w:val="000000"/>
          <w:sz w:val="24"/>
          <w:szCs w:val="24"/>
        </w:rPr>
        <w:t> </w:t>
      </w:r>
    </w:p>
    <w:p w:rsidR="00D85612" w:rsidRPr="00D85612" w:rsidRDefault="00D85612" w:rsidP="00D85612">
      <w:pPr>
        <w:spacing w:after="0" w:line="360" w:lineRule="atLeast"/>
        <w:ind w:left="567" w:hanging="283"/>
        <w:jc w:val="both"/>
        <w:rPr>
          <w:rFonts w:ascii="Times New Roman" w:eastAsia="Times New Roman" w:hAnsi="Times New Roman" w:cs="Times New Roman"/>
          <w:color w:val="000000"/>
          <w:sz w:val="24"/>
          <w:szCs w:val="24"/>
        </w:rPr>
      </w:pPr>
      <w:r w:rsidRPr="00D85612">
        <w:rPr>
          <w:rFonts w:ascii="Arial" w:eastAsia="Times New Roman" w:hAnsi="Arial" w:cs="Arial"/>
          <w:color w:val="000000"/>
          <w:sz w:val="20"/>
          <w:szCs w:val="20"/>
        </w:rPr>
        <w:t>3.4.</w:t>
      </w:r>
      <w:r w:rsidRPr="00D85612">
        <w:rPr>
          <w:rFonts w:ascii="Times New Roman" w:eastAsia="Times New Roman" w:hAnsi="Times New Roman" w:cs="Times New Roman"/>
          <w:color w:val="000000"/>
          <w:sz w:val="14"/>
          <w:szCs w:val="14"/>
        </w:rPr>
        <w:t>   </w:t>
      </w:r>
      <w:r w:rsidRPr="00D85612">
        <w:rPr>
          <w:rFonts w:ascii="Arial" w:eastAsia="Times New Roman" w:hAnsi="Arial" w:cs="Arial"/>
          <w:color w:val="000000"/>
          <w:sz w:val="24"/>
          <w:szCs w:val="24"/>
        </w:rPr>
        <w:t xml:space="preserve">While, on the one hand, the creation of a new body can provide a valuable solution in terms of administrative and bureaucracy efficiency, on the other hand, it can be very time-consuming (e.g. long and arduous negotiation process) and onerous (e.g. building a new facility and recruiting new staff), making it a less cost-effective option. Conversely, while the designation of an existing intergovernmental organisation can save time, reduce costs, and accelerate the negotiating process because it </w:t>
      </w:r>
      <w:proofErr w:type="gramStart"/>
      <w:r w:rsidRPr="00D85612">
        <w:rPr>
          <w:rFonts w:ascii="Arial" w:eastAsia="Times New Roman" w:hAnsi="Arial" w:cs="Arial"/>
          <w:color w:val="000000"/>
          <w:sz w:val="24"/>
          <w:szCs w:val="24"/>
        </w:rPr>
        <w:t>is already established and internationally recognised by a number of countries</w:t>
      </w:r>
      <w:proofErr w:type="gramEnd"/>
      <w:r w:rsidRPr="00D85612">
        <w:rPr>
          <w:rFonts w:ascii="Arial" w:eastAsia="Times New Roman" w:hAnsi="Arial" w:cs="Arial"/>
          <w:color w:val="000000"/>
          <w:sz w:val="24"/>
          <w:szCs w:val="24"/>
        </w:rPr>
        <w:t>, it can also create additional workload and reduce administrative efficacy.</w:t>
      </w:r>
    </w:p>
    <w:p w:rsidR="00D85612" w:rsidRPr="00D85612" w:rsidRDefault="00D85612" w:rsidP="00D85612">
      <w:pPr>
        <w:spacing w:after="0" w:line="360" w:lineRule="atLeast"/>
        <w:ind w:left="567" w:hanging="283"/>
        <w:jc w:val="both"/>
        <w:rPr>
          <w:rFonts w:ascii="Times New Roman" w:eastAsia="Times New Roman" w:hAnsi="Times New Roman" w:cs="Times New Roman"/>
          <w:color w:val="000000"/>
          <w:sz w:val="24"/>
          <w:szCs w:val="24"/>
        </w:rPr>
      </w:pPr>
      <w:r w:rsidRPr="00D85612">
        <w:rPr>
          <w:rFonts w:ascii="Arial" w:eastAsia="Times New Roman" w:hAnsi="Arial" w:cs="Arial"/>
          <w:color w:val="000000"/>
          <w:sz w:val="24"/>
          <w:szCs w:val="24"/>
        </w:rPr>
        <w:t> </w:t>
      </w:r>
    </w:p>
    <w:p w:rsidR="00D85612" w:rsidRPr="00D85612" w:rsidRDefault="00D85612" w:rsidP="00D85612">
      <w:pPr>
        <w:spacing w:after="0" w:line="360" w:lineRule="atLeast"/>
        <w:ind w:left="567" w:hanging="283"/>
        <w:jc w:val="both"/>
        <w:rPr>
          <w:rFonts w:ascii="Times New Roman" w:eastAsia="Times New Roman" w:hAnsi="Times New Roman" w:cs="Times New Roman"/>
          <w:color w:val="000000"/>
          <w:sz w:val="24"/>
          <w:szCs w:val="24"/>
        </w:rPr>
      </w:pPr>
      <w:r w:rsidRPr="00D85612">
        <w:rPr>
          <w:rFonts w:ascii="Arial" w:eastAsia="Times New Roman" w:hAnsi="Arial" w:cs="Arial"/>
          <w:color w:val="000000"/>
          <w:sz w:val="20"/>
          <w:szCs w:val="20"/>
        </w:rPr>
        <w:t>3.5.</w:t>
      </w:r>
      <w:r w:rsidRPr="00D85612">
        <w:rPr>
          <w:rFonts w:ascii="Times New Roman" w:eastAsia="Times New Roman" w:hAnsi="Times New Roman" w:cs="Times New Roman"/>
          <w:color w:val="000000"/>
          <w:sz w:val="14"/>
          <w:szCs w:val="14"/>
        </w:rPr>
        <w:t>   </w:t>
      </w:r>
      <w:r w:rsidRPr="00D85612">
        <w:rPr>
          <w:rFonts w:ascii="Arial" w:eastAsia="Times New Roman" w:hAnsi="Arial" w:cs="Arial"/>
          <w:color w:val="000000"/>
          <w:sz w:val="24"/>
          <w:szCs w:val="24"/>
        </w:rPr>
        <w:t>In the present context, there are several possible scenarios,</w:t>
      </w:r>
      <w:bookmarkStart w:id="1" w:name="_ftnref1"/>
      <w:bookmarkEnd w:id="1"/>
      <w:r w:rsidRPr="00D85612">
        <w:rPr>
          <w:rFonts w:ascii="Times New Roman" w:eastAsia="Times New Roman" w:hAnsi="Times New Roman" w:cs="Times New Roman"/>
          <w:color w:val="000000"/>
          <w:sz w:val="24"/>
          <w:szCs w:val="24"/>
        </w:rPr>
        <w:fldChar w:fldCharType="begin"/>
      </w:r>
      <w:r w:rsidRPr="00D85612">
        <w:rPr>
          <w:rFonts w:ascii="Times New Roman" w:eastAsia="Times New Roman" w:hAnsi="Times New Roman" w:cs="Times New Roman"/>
          <w:color w:val="000000"/>
          <w:sz w:val="24"/>
          <w:szCs w:val="24"/>
        </w:rPr>
        <w:instrText xml:space="preserve"> HYPERLINK "http://data.parliament.uk/writtenevidence/committeeevidence.svc/evidencedocument/environmental-audit-committee/sustainable-seas/written/83074.html" \l "_ftn1" </w:instrText>
      </w:r>
      <w:r w:rsidRPr="00D85612">
        <w:rPr>
          <w:rFonts w:ascii="Times New Roman" w:eastAsia="Times New Roman" w:hAnsi="Times New Roman" w:cs="Times New Roman"/>
          <w:color w:val="000000"/>
          <w:sz w:val="24"/>
          <w:szCs w:val="24"/>
        </w:rPr>
        <w:fldChar w:fldCharType="separate"/>
      </w:r>
      <w:r w:rsidRPr="00D85612">
        <w:rPr>
          <w:rFonts w:ascii="Times New Roman" w:eastAsia="Times New Roman" w:hAnsi="Times New Roman" w:cs="Times New Roman"/>
          <w:color w:val="0000FF"/>
          <w:sz w:val="24"/>
          <w:szCs w:val="24"/>
          <w:u w:val="single"/>
        </w:rPr>
        <w:t>[1]</w:t>
      </w:r>
      <w:r w:rsidRPr="00D85612">
        <w:rPr>
          <w:rFonts w:ascii="Times New Roman" w:eastAsia="Times New Roman" w:hAnsi="Times New Roman" w:cs="Times New Roman"/>
          <w:color w:val="000000"/>
          <w:sz w:val="24"/>
          <w:szCs w:val="24"/>
        </w:rPr>
        <w:fldChar w:fldCharType="end"/>
      </w:r>
      <w:r w:rsidRPr="00D85612">
        <w:rPr>
          <w:rFonts w:ascii="Arial" w:eastAsia="Times New Roman" w:hAnsi="Arial" w:cs="Arial"/>
          <w:color w:val="000000"/>
          <w:sz w:val="24"/>
          <w:szCs w:val="24"/>
        </w:rPr>
        <w:t> one of which is to design and empower the International Seabed Authority (ISA) to administer and manage the commercial exploitation of marine genetic resources from the deep seabed in ABNJ. ISA </w:t>
      </w:r>
      <w:proofErr w:type="gramStart"/>
      <w:r w:rsidRPr="00D85612">
        <w:rPr>
          <w:rFonts w:ascii="Arial" w:eastAsia="Times New Roman" w:hAnsi="Arial" w:cs="Arial"/>
          <w:color w:val="000000"/>
          <w:sz w:val="24"/>
          <w:szCs w:val="24"/>
        </w:rPr>
        <w:t>is indeed recognized</w:t>
      </w:r>
      <w:proofErr w:type="gramEnd"/>
      <w:r w:rsidRPr="00D85612">
        <w:rPr>
          <w:rFonts w:ascii="Arial" w:eastAsia="Times New Roman" w:hAnsi="Arial" w:cs="Arial"/>
          <w:color w:val="000000"/>
          <w:sz w:val="24"/>
          <w:szCs w:val="24"/>
        </w:rPr>
        <w:t xml:space="preserve"> as the organization through which States Parties are required to “organize and control activities in the Area, particularly with a view to administering the resources of the Area”.</w:t>
      </w:r>
      <w:bookmarkStart w:id="2" w:name="_ftnref2"/>
      <w:bookmarkEnd w:id="2"/>
      <w:r w:rsidRPr="00D85612">
        <w:rPr>
          <w:rFonts w:ascii="Times New Roman" w:eastAsia="Times New Roman" w:hAnsi="Times New Roman" w:cs="Times New Roman"/>
          <w:color w:val="000000"/>
          <w:sz w:val="24"/>
          <w:szCs w:val="24"/>
        </w:rPr>
        <w:fldChar w:fldCharType="begin"/>
      </w:r>
      <w:r w:rsidRPr="00D85612">
        <w:rPr>
          <w:rFonts w:ascii="Times New Roman" w:eastAsia="Times New Roman" w:hAnsi="Times New Roman" w:cs="Times New Roman"/>
          <w:color w:val="000000"/>
          <w:sz w:val="24"/>
          <w:szCs w:val="24"/>
        </w:rPr>
        <w:instrText xml:space="preserve"> HYPERLINK "http://data.parliament.uk/writtenevidence/committeeevidence.svc/evidencedocument/environmental-audit-committee/sustainable-seas/written/83074.html" \l "_ftn2" </w:instrText>
      </w:r>
      <w:r w:rsidRPr="00D85612">
        <w:rPr>
          <w:rFonts w:ascii="Times New Roman" w:eastAsia="Times New Roman" w:hAnsi="Times New Roman" w:cs="Times New Roman"/>
          <w:color w:val="000000"/>
          <w:sz w:val="24"/>
          <w:szCs w:val="24"/>
        </w:rPr>
        <w:fldChar w:fldCharType="separate"/>
      </w:r>
      <w:r w:rsidRPr="00D85612">
        <w:rPr>
          <w:rFonts w:ascii="Times New Roman" w:eastAsia="Times New Roman" w:hAnsi="Times New Roman" w:cs="Times New Roman"/>
          <w:color w:val="0000FF"/>
          <w:sz w:val="24"/>
          <w:szCs w:val="24"/>
          <w:u w:val="single"/>
        </w:rPr>
        <w:t>[2]</w:t>
      </w:r>
      <w:r w:rsidRPr="00D85612">
        <w:rPr>
          <w:rFonts w:ascii="Times New Roman" w:eastAsia="Times New Roman" w:hAnsi="Times New Roman" w:cs="Times New Roman"/>
          <w:color w:val="000000"/>
          <w:sz w:val="24"/>
          <w:szCs w:val="24"/>
        </w:rPr>
        <w:fldChar w:fldCharType="end"/>
      </w:r>
      <w:r w:rsidRPr="00D85612">
        <w:rPr>
          <w:rFonts w:ascii="Arial" w:eastAsia="Times New Roman" w:hAnsi="Arial" w:cs="Arial"/>
          <w:color w:val="000000"/>
          <w:sz w:val="24"/>
          <w:szCs w:val="24"/>
        </w:rPr>
        <w:t xml:space="preserve"> However, it is only competent to address and manage deep-sea mining-related activities in the international seabed area. It </w:t>
      </w:r>
      <w:proofErr w:type="gramStart"/>
      <w:r w:rsidRPr="00D85612">
        <w:rPr>
          <w:rFonts w:ascii="Arial" w:eastAsia="Times New Roman" w:hAnsi="Arial" w:cs="Arial"/>
          <w:color w:val="000000"/>
          <w:sz w:val="24"/>
          <w:szCs w:val="24"/>
        </w:rPr>
        <w:t>has been suggested</w:t>
      </w:r>
      <w:proofErr w:type="gramEnd"/>
      <w:r w:rsidRPr="00D85612">
        <w:rPr>
          <w:rFonts w:ascii="Arial" w:eastAsia="Times New Roman" w:hAnsi="Arial" w:cs="Arial"/>
          <w:color w:val="000000"/>
          <w:sz w:val="24"/>
          <w:szCs w:val="24"/>
        </w:rPr>
        <w:t xml:space="preserve"> that the mandate of ISA should be expanded to also include the marine genetic resources of the deep ocean floor.</w:t>
      </w:r>
      <w:bookmarkStart w:id="3" w:name="_ftnref3"/>
      <w:bookmarkEnd w:id="3"/>
      <w:r w:rsidRPr="00D85612">
        <w:rPr>
          <w:rFonts w:ascii="Times New Roman" w:eastAsia="Times New Roman" w:hAnsi="Times New Roman" w:cs="Times New Roman"/>
          <w:color w:val="000000"/>
          <w:sz w:val="24"/>
          <w:szCs w:val="24"/>
        </w:rPr>
        <w:fldChar w:fldCharType="begin"/>
      </w:r>
      <w:r w:rsidRPr="00D85612">
        <w:rPr>
          <w:rFonts w:ascii="Times New Roman" w:eastAsia="Times New Roman" w:hAnsi="Times New Roman" w:cs="Times New Roman"/>
          <w:color w:val="000000"/>
          <w:sz w:val="24"/>
          <w:szCs w:val="24"/>
        </w:rPr>
        <w:instrText xml:space="preserve"> HYPERLINK "http://data.parliament.uk/writtenevidence/committeeevidence.svc/evidencedocument/environmental-audit-committee/sustainable-seas/written/83074.html" \l "_ftn3" </w:instrText>
      </w:r>
      <w:r w:rsidRPr="00D85612">
        <w:rPr>
          <w:rFonts w:ascii="Times New Roman" w:eastAsia="Times New Roman" w:hAnsi="Times New Roman" w:cs="Times New Roman"/>
          <w:color w:val="000000"/>
          <w:sz w:val="24"/>
          <w:szCs w:val="24"/>
        </w:rPr>
        <w:fldChar w:fldCharType="separate"/>
      </w:r>
      <w:r w:rsidRPr="00D85612">
        <w:rPr>
          <w:rFonts w:ascii="Times New Roman" w:eastAsia="Times New Roman" w:hAnsi="Times New Roman" w:cs="Times New Roman"/>
          <w:color w:val="0000FF"/>
          <w:sz w:val="24"/>
          <w:szCs w:val="24"/>
          <w:u w:val="single"/>
        </w:rPr>
        <w:t>[3]</w:t>
      </w:r>
      <w:r w:rsidRPr="00D85612">
        <w:rPr>
          <w:rFonts w:ascii="Times New Roman" w:eastAsia="Times New Roman" w:hAnsi="Times New Roman" w:cs="Times New Roman"/>
          <w:color w:val="000000"/>
          <w:sz w:val="24"/>
          <w:szCs w:val="24"/>
        </w:rPr>
        <w:fldChar w:fldCharType="end"/>
      </w:r>
      <w:r w:rsidRPr="00D85612">
        <w:rPr>
          <w:rFonts w:ascii="Arial" w:eastAsia="Times New Roman" w:hAnsi="Arial" w:cs="Arial"/>
          <w:color w:val="000000"/>
          <w:sz w:val="24"/>
          <w:szCs w:val="24"/>
        </w:rPr>
        <w:t xml:space="preserve"> Although this is a possibility, it is an unlikely scenario. Firstly, ISA is </w:t>
      </w:r>
      <w:proofErr w:type="gramStart"/>
      <w:r w:rsidRPr="00D85612">
        <w:rPr>
          <w:rFonts w:ascii="Arial" w:eastAsia="Times New Roman" w:hAnsi="Arial" w:cs="Arial"/>
          <w:color w:val="000000"/>
          <w:sz w:val="24"/>
          <w:szCs w:val="24"/>
        </w:rPr>
        <w:t>ill-equipped</w:t>
      </w:r>
      <w:proofErr w:type="gramEnd"/>
      <w:r w:rsidRPr="00D85612">
        <w:rPr>
          <w:rFonts w:ascii="Arial" w:eastAsia="Times New Roman" w:hAnsi="Arial" w:cs="Arial"/>
          <w:color w:val="000000"/>
          <w:sz w:val="24"/>
          <w:szCs w:val="24"/>
        </w:rPr>
        <w:t xml:space="preserve"> to deal with the management of deep sea living </w:t>
      </w:r>
      <w:r w:rsidRPr="00D85612">
        <w:rPr>
          <w:rFonts w:ascii="Arial" w:eastAsia="Times New Roman" w:hAnsi="Arial" w:cs="Arial"/>
          <w:color w:val="000000"/>
          <w:sz w:val="24"/>
          <w:szCs w:val="24"/>
        </w:rPr>
        <w:lastRenderedPageBreak/>
        <w:t>resources and the sharing of benefits arising from their utilizations.</w:t>
      </w:r>
      <w:bookmarkStart w:id="4" w:name="_ftnref4"/>
      <w:bookmarkEnd w:id="4"/>
      <w:r w:rsidRPr="00D85612">
        <w:rPr>
          <w:rFonts w:ascii="Times New Roman" w:eastAsia="Times New Roman" w:hAnsi="Times New Roman" w:cs="Times New Roman"/>
          <w:color w:val="000000"/>
          <w:sz w:val="24"/>
          <w:szCs w:val="24"/>
        </w:rPr>
        <w:fldChar w:fldCharType="begin"/>
      </w:r>
      <w:r w:rsidRPr="00D85612">
        <w:rPr>
          <w:rFonts w:ascii="Times New Roman" w:eastAsia="Times New Roman" w:hAnsi="Times New Roman" w:cs="Times New Roman"/>
          <w:color w:val="000000"/>
          <w:sz w:val="24"/>
          <w:szCs w:val="24"/>
        </w:rPr>
        <w:instrText xml:space="preserve"> HYPERLINK "http://data.parliament.uk/writtenevidence/committeeevidence.svc/evidencedocument/environmental-audit-committee/sustainable-seas/written/83074.html" \l "_ftn4" </w:instrText>
      </w:r>
      <w:r w:rsidRPr="00D85612">
        <w:rPr>
          <w:rFonts w:ascii="Times New Roman" w:eastAsia="Times New Roman" w:hAnsi="Times New Roman" w:cs="Times New Roman"/>
          <w:color w:val="000000"/>
          <w:sz w:val="24"/>
          <w:szCs w:val="24"/>
        </w:rPr>
        <w:fldChar w:fldCharType="separate"/>
      </w:r>
      <w:r w:rsidRPr="00D85612">
        <w:rPr>
          <w:rFonts w:ascii="Times New Roman" w:eastAsia="Times New Roman" w:hAnsi="Times New Roman" w:cs="Times New Roman"/>
          <w:color w:val="0000FF"/>
          <w:sz w:val="24"/>
          <w:szCs w:val="24"/>
          <w:u w:val="single"/>
        </w:rPr>
        <w:t>[4]</w:t>
      </w:r>
      <w:r w:rsidRPr="00D85612">
        <w:rPr>
          <w:rFonts w:ascii="Times New Roman" w:eastAsia="Times New Roman" w:hAnsi="Times New Roman" w:cs="Times New Roman"/>
          <w:color w:val="000000"/>
          <w:sz w:val="24"/>
          <w:szCs w:val="24"/>
        </w:rPr>
        <w:fldChar w:fldCharType="end"/>
      </w:r>
      <w:r w:rsidRPr="00D85612">
        <w:rPr>
          <w:rFonts w:ascii="Arial" w:eastAsia="Times New Roman" w:hAnsi="Arial" w:cs="Arial"/>
          <w:color w:val="000000"/>
          <w:sz w:val="24"/>
          <w:szCs w:val="24"/>
        </w:rPr>
        <w:t>  Secondly, and perhaps the decisive element to argue against this scenario, is the lack of consensus on the legal status of marine genetic resources in ABNJ.</w:t>
      </w:r>
      <w:bookmarkStart w:id="5" w:name="_ftnref5"/>
      <w:bookmarkEnd w:id="5"/>
      <w:r w:rsidRPr="00D85612">
        <w:rPr>
          <w:rFonts w:ascii="Times New Roman" w:eastAsia="Times New Roman" w:hAnsi="Times New Roman" w:cs="Times New Roman"/>
          <w:color w:val="000000"/>
          <w:sz w:val="24"/>
          <w:szCs w:val="24"/>
        </w:rPr>
        <w:fldChar w:fldCharType="begin"/>
      </w:r>
      <w:r w:rsidRPr="00D85612">
        <w:rPr>
          <w:rFonts w:ascii="Times New Roman" w:eastAsia="Times New Roman" w:hAnsi="Times New Roman" w:cs="Times New Roman"/>
          <w:color w:val="000000"/>
          <w:sz w:val="24"/>
          <w:szCs w:val="24"/>
        </w:rPr>
        <w:instrText xml:space="preserve"> HYPERLINK "http://data.parliament.uk/writtenevidence/committeeevidence.svc/evidencedocument/environmental-audit-committee/sustainable-seas/written/83074.html" \l "_ftn5" </w:instrText>
      </w:r>
      <w:r w:rsidRPr="00D85612">
        <w:rPr>
          <w:rFonts w:ascii="Times New Roman" w:eastAsia="Times New Roman" w:hAnsi="Times New Roman" w:cs="Times New Roman"/>
          <w:color w:val="000000"/>
          <w:sz w:val="24"/>
          <w:szCs w:val="24"/>
        </w:rPr>
        <w:fldChar w:fldCharType="separate"/>
      </w:r>
      <w:r w:rsidRPr="00D85612">
        <w:rPr>
          <w:rFonts w:ascii="Times New Roman" w:eastAsia="Times New Roman" w:hAnsi="Times New Roman" w:cs="Times New Roman"/>
          <w:color w:val="0000FF"/>
          <w:sz w:val="24"/>
          <w:szCs w:val="24"/>
          <w:u w:val="single"/>
        </w:rPr>
        <w:t>[5</w:t>
      </w:r>
      <w:proofErr w:type="gramStart"/>
      <w:r w:rsidRPr="00D85612">
        <w:rPr>
          <w:rFonts w:ascii="Times New Roman" w:eastAsia="Times New Roman" w:hAnsi="Times New Roman" w:cs="Times New Roman"/>
          <w:color w:val="0000FF"/>
          <w:sz w:val="24"/>
          <w:szCs w:val="24"/>
          <w:u w:val="single"/>
        </w:rPr>
        <w:t>]</w:t>
      </w:r>
      <w:proofErr w:type="gramEnd"/>
      <w:r w:rsidRPr="00D85612">
        <w:rPr>
          <w:rFonts w:ascii="Times New Roman" w:eastAsia="Times New Roman" w:hAnsi="Times New Roman" w:cs="Times New Roman"/>
          <w:color w:val="000000"/>
          <w:sz w:val="24"/>
          <w:szCs w:val="24"/>
        </w:rPr>
        <w:fldChar w:fldCharType="end"/>
      </w:r>
      <w:r w:rsidRPr="00D85612">
        <w:rPr>
          <w:rFonts w:ascii="Arial" w:eastAsia="Times New Roman" w:hAnsi="Arial" w:cs="Arial"/>
          <w:color w:val="000000"/>
          <w:sz w:val="24"/>
          <w:szCs w:val="24"/>
        </w:rPr>
        <w:t>Yet, even if ISA was granted such an expanded role, marine genetic resources collected from the water column above the seabed would still fall outside its powers and functions.</w:t>
      </w:r>
      <w:bookmarkStart w:id="6" w:name="_ftnref6"/>
      <w:bookmarkEnd w:id="6"/>
      <w:r w:rsidRPr="00D85612">
        <w:rPr>
          <w:rFonts w:ascii="Times New Roman" w:eastAsia="Times New Roman" w:hAnsi="Times New Roman" w:cs="Times New Roman"/>
          <w:color w:val="000000"/>
          <w:sz w:val="24"/>
          <w:szCs w:val="24"/>
        </w:rPr>
        <w:fldChar w:fldCharType="begin"/>
      </w:r>
      <w:r w:rsidRPr="00D85612">
        <w:rPr>
          <w:rFonts w:ascii="Times New Roman" w:eastAsia="Times New Roman" w:hAnsi="Times New Roman" w:cs="Times New Roman"/>
          <w:color w:val="000000"/>
          <w:sz w:val="24"/>
          <w:szCs w:val="24"/>
        </w:rPr>
        <w:instrText xml:space="preserve"> HYPERLINK "http://data.parliament.uk/writtenevidence/committeeevidence.svc/evidencedocument/environmental-audit-committee/sustainable-seas/written/83074.html" \l "_ftn6" </w:instrText>
      </w:r>
      <w:r w:rsidRPr="00D85612">
        <w:rPr>
          <w:rFonts w:ascii="Times New Roman" w:eastAsia="Times New Roman" w:hAnsi="Times New Roman" w:cs="Times New Roman"/>
          <w:color w:val="000000"/>
          <w:sz w:val="24"/>
          <w:szCs w:val="24"/>
        </w:rPr>
        <w:fldChar w:fldCharType="separate"/>
      </w:r>
      <w:r w:rsidRPr="00D85612">
        <w:rPr>
          <w:rFonts w:ascii="Times New Roman" w:eastAsia="Times New Roman" w:hAnsi="Times New Roman" w:cs="Times New Roman"/>
          <w:color w:val="0000FF"/>
          <w:sz w:val="24"/>
          <w:szCs w:val="24"/>
          <w:u w:val="single"/>
        </w:rPr>
        <w:t>[6]</w:t>
      </w:r>
      <w:r w:rsidRPr="00D85612">
        <w:rPr>
          <w:rFonts w:ascii="Times New Roman" w:eastAsia="Times New Roman" w:hAnsi="Times New Roman" w:cs="Times New Roman"/>
          <w:color w:val="000000"/>
          <w:sz w:val="24"/>
          <w:szCs w:val="24"/>
        </w:rPr>
        <w:fldChar w:fldCharType="end"/>
      </w:r>
    </w:p>
    <w:p w:rsidR="00D85612" w:rsidRPr="00D85612" w:rsidRDefault="00D85612" w:rsidP="00D85612">
      <w:pPr>
        <w:spacing w:after="0" w:line="360" w:lineRule="atLeast"/>
        <w:ind w:left="567" w:hanging="283"/>
        <w:jc w:val="both"/>
        <w:rPr>
          <w:rFonts w:ascii="Times New Roman" w:eastAsia="Times New Roman" w:hAnsi="Times New Roman" w:cs="Times New Roman"/>
          <w:color w:val="000000"/>
          <w:sz w:val="24"/>
          <w:szCs w:val="24"/>
        </w:rPr>
      </w:pPr>
      <w:r w:rsidRPr="00D85612">
        <w:rPr>
          <w:rFonts w:ascii="Arial" w:eastAsia="Times New Roman" w:hAnsi="Arial" w:cs="Arial"/>
          <w:color w:val="000000"/>
          <w:sz w:val="24"/>
          <w:szCs w:val="24"/>
        </w:rPr>
        <w:t> </w:t>
      </w:r>
    </w:p>
    <w:p w:rsidR="00D85612" w:rsidRPr="00D85612" w:rsidRDefault="00D85612" w:rsidP="00D85612">
      <w:pPr>
        <w:spacing w:after="0" w:line="360" w:lineRule="atLeast"/>
        <w:ind w:left="567" w:hanging="283"/>
        <w:jc w:val="both"/>
        <w:rPr>
          <w:rFonts w:ascii="Times New Roman" w:eastAsia="Times New Roman" w:hAnsi="Times New Roman" w:cs="Times New Roman"/>
          <w:color w:val="000000"/>
          <w:sz w:val="24"/>
          <w:szCs w:val="24"/>
        </w:rPr>
      </w:pPr>
      <w:r w:rsidRPr="00D85612">
        <w:rPr>
          <w:rFonts w:ascii="Arial" w:eastAsia="Times New Roman" w:hAnsi="Arial" w:cs="Arial"/>
          <w:color w:val="000000"/>
          <w:sz w:val="20"/>
          <w:szCs w:val="20"/>
        </w:rPr>
        <w:t>3.6.</w:t>
      </w:r>
      <w:r w:rsidRPr="00D85612">
        <w:rPr>
          <w:rFonts w:ascii="Times New Roman" w:eastAsia="Times New Roman" w:hAnsi="Times New Roman" w:cs="Times New Roman"/>
          <w:color w:val="000000"/>
          <w:sz w:val="14"/>
          <w:szCs w:val="14"/>
        </w:rPr>
        <w:t>   </w:t>
      </w:r>
      <w:r w:rsidRPr="00D85612">
        <w:rPr>
          <w:rFonts w:ascii="Arial" w:eastAsia="Times New Roman" w:hAnsi="Arial" w:cs="Arial"/>
          <w:color w:val="000000"/>
          <w:sz w:val="24"/>
          <w:szCs w:val="24"/>
        </w:rPr>
        <w:t xml:space="preserve">Among other possible scenarios is that instead of having one body with exclusive competence such as the Authority, multiple authorities </w:t>
      </w:r>
      <w:proofErr w:type="gramStart"/>
      <w:r w:rsidRPr="00D85612">
        <w:rPr>
          <w:rFonts w:ascii="Arial" w:eastAsia="Times New Roman" w:hAnsi="Arial" w:cs="Arial"/>
          <w:color w:val="000000"/>
          <w:sz w:val="24"/>
          <w:szCs w:val="24"/>
        </w:rPr>
        <w:t>could be designated</w:t>
      </w:r>
      <w:proofErr w:type="gramEnd"/>
      <w:r w:rsidRPr="00D85612">
        <w:rPr>
          <w:rFonts w:ascii="Arial" w:eastAsia="Times New Roman" w:hAnsi="Arial" w:cs="Arial"/>
          <w:color w:val="000000"/>
          <w:sz w:val="24"/>
          <w:szCs w:val="24"/>
        </w:rPr>
        <w:t xml:space="preserve"> to manage the different aspects of access and benefit-sharing relating to marine genetic resources in ABNJ. For instance, the Food and Agricultural Organization (FAO) could be designated for managing and overseeing access to marine genetic resources sourced from ABNJ; the Convention on Biological Diversity (CBD) could be responsible for developing and maintaining a global mechanism for </w:t>
      </w:r>
      <w:proofErr w:type="gramStart"/>
      <w:r w:rsidRPr="00D85612">
        <w:rPr>
          <w:rFonts w:ascii="Arial" w:eastAsia="Times New Roman" w:hAnsi="Arial" w:cs="Arial"/>
          <w:color w:val="000000"/>
          <w:sz w:val="24"/>
          <w:szCs w:val="24"/>
        </w:rPr>
        <w:t>benefits-sharing</w:t>
      </w:r>
      <w:proofErr w:type="gramEnd"/>
      <w:r w:rsidRPr="00D85612">
        <w:rPr>
          <w:rFonts w:ascii="Arial" w:eastAsia="Times New Roman" w:hAnsi="Arial" w:cs="Arial"/>
          <w:color w:val="000000"/>
          <w:sz w:val="24"/>
          <w:szCs w:val="24"/>
        </w:rPr>
        <w:t>; and the World Trade Organization (WTO) could be competent for addressing intellectual property-related issues.</w:t>
      </w:r>
    </w:p>
    <w:p w:rsidR="00D85612" w:rsidRPr="00D85612" w:rsidRDefault="00D85612" w:rsidP="00D85612">
      <w:pPr>
        <w:spacing w:after="0" w:line="360" w:lineRule="atLeast"/>
        <w:ind w:left="567" w:hanging="283"/>
        <w:jc w:val="both"/>
        <w:rPr>
          <w:rFonts w:ascii="Times New Roman" w:eastAsia="Times New Roman" w:hAnsi="Times New Roman" w:cs="Times New Roman"/>
          <w:color w:val="000000"/>
          <w:sz w:val="24"/>
          <w:szCs w:val="24"/>
        </w:rPr>
      </w:pPr>
      <w:r w:rsidRPr="00D85612">
        <w:rPr>
          <w:rFonts w:ascii="Arial" w:eastAsia="Times New Roman" w:hAnsi="Arial" w:cs="Arial"/>
          <w:color w:val="000000"/>
          <w:sz w:val="24"/>
          <w:szCs w:val="24"/>
        </w:rPr>
        <w:t> </w:t>
      </w:r>
    </w:p>
    <w:p w:rsidR="00D85612" w:rsidRPr="00D85612" w:rsidRDefault="00D85612" w:rsidP="00D85612">
      <w:pPr>
        <w:spacing w:after="0" w:line="360" w:lineRule="atLeast"/>
        <w:ind w:left="567" w:hanging="283"/>
        <w:jc w:val="both"/>
        <w:rPr>
          <w:rFonts w:ascii="Times New Roman" w:eastAsia="Times New Roman" w:hAnsi="Times New Roman" w:cs="Times New Roman"/>
          <w:color w:val="000000"/>
          <w:sz w:val="24"/>
          <w:szCs w:val="24"/>
        </w:rPr>
      </w:pPr>
      <w:r w:rsidRPr="00D85612">
        <w:rPr>
          <w:rFonts w:ascii="Arial" w:eastAsia="Times New Roman" w:hAnsi="Arial" w:cs="Arial"/>
          <w:color w:val="000000"/>
          <w:sz w:val="20"/>
          <w:szCs w:val="20"/>
        </w:rPr>
        <w:t>3.7.</w:t>
      </w:r>
      <w:r w:rsidRPr="00D85612">
        <w:rPr>
          <w:rFonts w:ascii="Times New Roman" w:eastAsia="Times New Roman" w:hAnsi="Times New Roman" w:cs="Times New Roman"/>
          <w:color w:val="000000"/>
          <w:sz w:val="14"/>
          <w:szCs w:val="14"/>
        </w:rPr>
        <w:t>   </w:t>
      </w:r>
      <w:r w:rsidRPr="00D85612">
        <w:rPr>
          <w:rFonts w:ascii="Arial" w:eastAsia="Times New Roman" w:hAnsi="Arial" w:cs="Arial"/>
          <w:color w:val="000000"/>
          <w:sz w:val="24"/>
          <w:szCs w:val="24"/>
        </w:rPr>
        <w:t xml:space="preserve">Another possibility that </w:t>
      </w:r>
      <w:proofErr w:type="gramStart"/>
      <w:r w:rsidRPr="00D85612">
        <w:rPr>
          <w:rFonts w:ascii="Arial" w:eastAsia="Times New Roman" w:hAnsi="Arial" w:cs="Arial"/>
          <w:color w:val="000000"/>
          <w:sz w:val="24"/>
          <w:szCs w:val="24"/>
        </w:rPr>
        <w:t>could also be envisaged</w:t>
      </w:r>
      <w:proofErr w:type="gramEnd"/>
      <w:r w:rsidRPr="00D85612">
        <w:rPr>
          <w:rFonts w:ascii="Arial" w:eastAsia="Times New Roman" w:hAnsi="Arial" w:cs="Arial"/>
          <w:color w:val="000000"/>
          <w:sz w:val="24"/>
          <w:szCs w:val="24"/>
        </w:rPr>
        <w:t xml:space="preserve"> is the establishment of a new authority under the future instrument to UNCLOS that would benefit from the joint-expertise of relevant organisations such as ISA, the CBD, the FAO, and the WTO.</w:t>
      </w:r>
      <w:bookmarkStart w:id="7" w:name="_ftnref7"/>
      <w:bookmarkEnd w:id="7"/>
      <w:r w:rsidRPr="00D85612">
        <w:rPr>
          <w:rFonts w:ascii="Times New Roman" w:eastAsia="Times New Roman" w:hAnsi="Times New Roman" w:cs="Times New Roman"/>
          <w:color w:val="000000"/>
          <w:sz w:val="24"/>
          <w:szCs w:val="24"/>
        </w:rPr>
        <w:fldChar w:fldCharType="begin"/>
      </w:r>
      <w:r w:rsidRPr="00D85612">
        <w:rPr>
          <w:rFonts w:ascii="Times New Roman" w:eastAsia="Times New Roman" w:hAnsi="Times New Roman" w:cs="Times New Roman"/>
          <w:color w:val="000000"/>
          <w:sz w:val="24"/>
          <w:szCs w:val="24"/>
        </w:rPr>
        <w:instrText xml:space="preserve"> HYPERLINK "http://data.parliament.uk/writtenevidence/committeeevidence.svc/evidencedocument/environmental-audit-committee/sustainable-seas/written/83074.html" \l "_ftn7" </w:instrText>
      </w:r>
      <w:r w:rsidRPr="00D85612">
        <w:rPr>
          <w:rFonts w:ascii="Times New Roman" w:eastAsia="Times New Roman" w:hAnsi="Times New Roman" w:cs="Times New Roman"/>
          <w:color w:val="000000"/>
          <w:sz w:val="24"/>
          <w:szCs w:val="24"/>
        </w:rPr>
        <w:fldChar w:fldCharType="separate"/>
      </w:r>
      <w:r w:rsidRPr="00D85612">
        <w:rPr>
          <w:rFonts w:ascii="Times New Roman" w:eastAsia="Times New Roman" w:hAnsi="Times New Roman" w:cs="Times New Roman"/>
          <w:color w:val="0000FF"/>
          <w:sz w:val="24"/>
          <w:szCs w:val="24"/>
          <w:u w:val="single"/>
        </w:rPr>
        <w:t>[7]</w:t>
      </w:r>
      <w:r w:rsidRPr="00D85612">
        <w:rPr>
          <w:rFonts w:ascii="Times New Roman" w:eastAsia="Times New Roman" w:hAnsi="Times New Roman" w:cs="Times New Roman"/>
          <w:color w:val="000000"/>
          <w:sz w:val="24"/>
          <w:szCs w:val="24"/>
        </w:rPr>
        <w:fldChar w:fldCharType="end"/>
      </w:r>
    </w:p>
    <w:p w:rsidR="00D85612" w:rsidRPr="00D85612" w:rsidRDefault="00D85612" w:rsidP="00D85612">
      <w:pPr>
        <w:spacing w:after="0" w:line="360" w:lineRule="atLeast"/>
        <w:ind w:left="567" w:hanging="283"/>
        <w:jc w:val="both"/>
        <w:rPr>
          <w:rFonts w:ascii="Times New Roman" w:eastAsia="Times New Roman" w:hAnsi="Times New Roman" w:cs="Times New Roman"/>
          <w:color w:val="000000"/>
          <w:sz w:val="24"/>
          <w:szCs w:val="24"/>
        </w:rPr>
      </w:pPr>
      <w:r w:rsidRPr="00D85612">
        <w:rPr>
          <w:rFonts w:ascii="Arial" w:eastAsia="Times New Roman" w:hAnsi="Arial" w:cs="Arial"/>
          <w:color w:val="000000"/>
          <w:sz w:val="20"/>
          <w:szCs w:val="20"/>
        </w:rPr>
        <w:t>3.8.</w:t>
      </w:r>
      <w:r w:rsidRPr="00D85612">
        <w:rPr>
          <w:rFonts w:ascii="Times New Roman" w:eastAsia="Times New Roman" w:hAnsi="Times New Roman" w:cs="Times New Roman"/>
          <w:color w:val="000000"/>
          <w:sz w:val="14"/>
          <w:szCs w:val="14"/>
        </w:rPr>
        <w:t>   </w:t>
      </w:r>
      <w:r w:rsidRPr="00D85612">
        <w:rPr>
          <w:rFonts w:ascii="Arial" w:eastAsia="Times New Roman" w:hAnsi="Arial" w:cs="Arial"/>
          <w:color w:val="000000"/>
          <w:sz w:val="24"/>
          <w:szCs w:val="24"/>
        </w:rPr>
        <w:t>Each of these scenarios </w:t>
      </w:r>
      <w:proofErr w:type="gramStart"/>
      <w:r w:rsidRPr="00D85612">
        <w:rPr>
          <w:rFonts w:ascii="Arial" w:eastAsia="Times New Roman" w:hAnsi="Arial" w:cs="Arial"/>
          <w:color w:val="000000"/>
          <w:sz w:val="24"/>
          <w:szCs w:val="24"/>
        </w:rPr>
        <w:t>should be carefully balanced</w:t>
      </w:r>
      <w:proofErr w:type="gramEnd"/>
      <w:r w:rsidRPr="00D85612">
        <w:rPr>
          <w:rFonts w:ascii="Arial" w:eastAsia="Times New Roman" w:hAnsi="Arial" w:cs="Arial"/>
          <w:color w:val="000000"/>
          <w:sz w:val="24"/>
          <w:szCs w:val="24"/>
        </w:rPr>
        <w:t xml:space="preserve"> during the negotiations of the future instrument in the UNGA.  At this stage of the negotiations, it is still impossible to predict the scenario that </w:t>
      </w:r>
      <w:proofErr w:type="gramStart"/>
      <w:r w:rsidRPr="00D85612">
        <w:rPr>
          <w:rFonts w:ascii="Arial" w:eastAsia="Times New Roman" w:hAnsi="Arial" w:cs="Arial"/>
          <w:color w:val="000000"/>
          <w:sz w:val="24"/>
          <w:szCs w:val="24"/>
        </w:rPr>
        <w:t>will be retained</w:t>
      </w:r>
      <w:proofErr w:type="gramEnd"/>
      <w:r w:rsidRPr="00D85612">
        <w:rPr>
          <w:rFonts w:ascii="Arial" w:eastAsia="Times New Roman" w:hAnsi="Arial" w:cs="Arial"/>
          <w:color w:val="000000"/>
          <w:sz w:val="24"/>
          <w:szCs w:val="24"/>
        </w:rPr>
        <w:t xml:space="preserve">. </w:t>
      </w:r>
      <w:proofErr w:type="gramStart"/>
      <w:r w:rsidRPr="00D85612">
        <w:rPr>
          <w:rFonts w:ascii="Arial" w:eastAsia="Times New Roman" w:hAnsi="Arial" w:cs="Arial"/>
          <w:color w:val="000000"/>
          <w:sz w:val="24"/>
          <w:szCs w:val="24"/>
        </w:rPr>
        <w:t>But</w:t>
      </w:r>
      <w:proofErr w:type="gramEnd"/>
      <w:r w:rsidRPr="00D85612">
        <w:rPr>
          <w:rFonts w:ascii="Arial" w:eastAsia="Times New Roman" w:hAnsi="Arial" w:cs="Arial"/>
          <w:color w:val="000000"/>
          <w:sz w:val="24"/>
          <w:szCs w:val="24"/>
        </w:rPr>
        <w:t xml:space="preserve"> even more importantly, there is no guarantee that the future instrument will be able to cope effectively with the major challenges regarding the access to marine genetic resources in ABNJ and the sharing of benefit arising from their use. Faced with this uncertainty, alternative options to create an access and benefit-sharing regime outside the IA </w:t>
      </w:r>
      <w:proofErr w:type="gramStart"/>
      <w:r w:rsidRPr="00D85612">
        <w:rPr>
          <w:rFonts w:ascii="Arial" w:eastAsia="Times New Roman" w:hAnsi="Arial" w:cs="Arial"/>
          <w:color w:val="000000"/>
          <w:sz w:val="24"/>
          <w:szCs w:val="24"/>
        </w:rPr>
        <w:t>should also be considered</w:t>
      </w:r>
      <w:proofErr w:type="gramEnd"/>
      <w:r w:rsidRPr="00D85612">
        <w:rPr>
          <w:rFonts w:ascii="Arial" w:eastAsia="Times New Roman" w:hAnsi="Arial" w:cs="Arial"/>
          <w:color w:val="000000"/>
          <w:sz w:val="24"/>
          <w:szCs w:val="24"/>
        </w:rPr>
        <w:t>.</w:t>
      </w:r>
    </w:p>
    <w:p w:rsidR="00D85612" w:rsidRPr="00D85612" w:rsidRDefault="00D85612" w:rsidP="00D85612">
      <w:pPr>
        <w:spacing w:after="0" w:line="360" w:lineRule="atLeast"/>
        <w:ind w:left="567" w:hanging="283"/>
        <w:jc w:val="both"/>
        <w:rPr>
          <w:rFonts w:ascii="Times New Roman" w:eastAsia="Times New Roman" w:hAnsi="Times New Roman" w:cs="Times New Roman"/>
          <w:color w:val="000000"/>
          <w:sz w:val="24"/>
          <w:szCs w:val="24"/>
        </w:rPr>
      </w:pPr>
      <w:r w:rsidRPr="00D85612">
        <w:rPr>
          <w:rFonts w:ascii="Arial" w:eastAsia="Times New Roman" w:hAnsi="Arial" w:cs="Arial"/>
          <w:color w:val="000000"/>
          <w:sz w:val="24"/>
          <w:szCs w:val="24"/>
        </w:rPr>
        <w:t> </w:t>
      </w:r>
    </w:p>
    <w:p w:rsidR="00D85612" w:rsidRPr="00D85612" w:rsidRDefault="00D85612" w:rsidP="00D85612">
      <w:pPr>
        <w:spacing w:after="0" w:line="360" w:lineRule="atLeast"/>
        <w:ind w:left="567" w:hanging="283"/>
        <w:jc w:val="both"/>
        <w:rPr>
          <w:rFonts w:ascii="Times New Roman" w:eastAsia="Times New Roman" w:hAnsi="Times New Roman" w:cs="Times New Roman"/>
          <w:color w:val="000000"/>
          <w:sz w:val="24"/>
          <w:szCs w:val="24"/>
        </w:rPr>
      </w:pPr>
      <w:r w:rsidRPr="00D85612">
        <w:rPr>
          <w:rFonts w:ascii="Arial" w:eastAsia="Times New Roman" w:hAnsi="Arial" w:cs="Arial"/>
          <w:color w:val="000000"/>
          <w:sz w:val="20"/>
          <w:szCs w:val="20"/>
        </w:rPr>
        <w:t>3.9.</w:t>
      </w:r>
      <w:r w:rsidRPr="00D85612">
        <w:rPr>
          <w:rFonts w:ascii="Times New Roman" w:eastAsia="Times New Roman" w:hAnsi="Times New Roman" w:cs="Times New Roman"/>
          <w:color w:val="000000"/>
          <w:sz w:val="14"/>
          <w:szCs w:val="14"/>
        </w:rPr>
        <w:t>   </w:t>
      </w:r>
      <w:r w:rsidRPr="00D85612">
        <w:rPr>
          <w:rFonts w:ascii="Arial" w:eastAsia="Times New Roman" w:hAnsi="Arial" w:cs="Arial"/>
          <w:color w:val="000000"/>
          <w:sz w:val="24"/>
          <w:szCs w:val="24"/>
        </w:rPr>
        <w:t xml:space="preserve">In the present context, it is rather unlikely that the issue of access and benefit sharing of marine genetic resources in ABNJ would be addressed through an internationally </w:t>
      </w:r>
      <w:proofErr w:type="gramStart"/>
      <w:r w:rsidRPr="00D85612">
        <w:rPr>
          <w:rFonts w:ascii="Arial" w:eastAsia="Times New Roman" w:hAnsi="Arial" w:cs="Arial"/>
          <w:color w:val="000000"/>
          <w:sz w:val="24"/>
          <w:szCs w:val="24"/>
        </w:rPr>
        <w:t>legally-binding</w:t>
      </w:r>
      <w:proofErr w:type="gramEnd"/>
      <w:r w:rsidRPr="00D85612">
        <w:rPr>
          <w:rFonts w:ascii="Arial" w:eastAsia="Times New Roman" w:hAnsi="Arial" w:cs="Arial"/>
          <w:color w:val="000000"/>
          <w:sz w:val="24"/>
          <w:szCs w:val="24"/>
        </w:rPr>
        <w:t xml:space="preserve"> agreement other than the future instrument to UNCLOS. Otherwise stated, this means that the issue of access and </w:t>
      </w:r>
      <w:proofErr w:type="gramStart"/>
      <w:r w:rsidRPr="00D85612">
        <w:rPr>
          <w:rFonts w:ascii="Arial" w:eastAsia="Times New Roman" w:hAnsi="Arial" w:cs="Arial"/>
          <w:color w:val="000000"/>
          <w:sz w:val="24"/>
          <w:szCs w:val="24"/>
        </w:rPr>
        <w:t>benefit-sharing</w:t>
      </w:r>
      <w:proofErr w:type="gramEnd"/>
      <w:r w:rsidRPr="00D85612">
        <w:rPr>
          <w:rFonts w:ascii="Arial" w:eastAsia="Times New Roman" w:hAnsi="Arial" w:cs="Arial"/>
          <w:color w:val="000000"/>
          <w:sz w:val="24"/>
          <w:szCs w:val="24"/>
        </w:rPr>
        <w:t xml:space="preserve"> would not be solved until the instrument is fully developed and adopted. </w:t>
      </w:r>
    </w:p>
    <w:p w:rsidR="00D85612" w:rsidRPr="00D85612" w:rsidRDefault="00D85612" w:rsidP="00D85612">
      <w:pPr>
        <w:spacing w:after="0" w:line="360" w:lineRule="atLeast"/>
        <w:ind w:left="567" w:hanging="283"/>
        <w:jc w:val="both"/>
        <w:rPr>
          <w:rFonts w:ascii="Times New Roman" w:eastAsia="Times New Roman" w:hAnsi="Times New Roman" w:cs="Times New Roman"/>
          <w:color w:val="000000"/>
          <w:sz w:val="24"/>
          <w:szCs w:val="24"/>
        </w:rPr>
      </w:pPr>
      <w:r w:rsidRPr="00D85612">
        <w:rPr>
          <w:rFonts w:ascii="Arial" w:eastAsia="Times New Roman" w:hAnsi="Arial" w:cs="Arial"/>
          <w:color w:val="000000"/>
          <w:sz w:val="24"/>
          <w:szCs w:val="24"/>
        </w:rPr>
        <w:t> </w:t>
      </w:r>
    </w:p>
    <w:p w:rsidR="00D85612" w:rsidRPr="00D85612" w:rsidRDefault="00D85612" w:rsidP="00D85612">
      <w:pPr>
        <w:spacing w:after="0" w:line="360" w:lineRule="atLeast"/>
        <w:ind w:left="567" w:hanging="283"/>
        <w:jc w:val="both"/>
        <w:rPr>
          <w:rFonts w:ascii="Times New Roman" w:eastAsia="Times New Roman" w:hAnsi="Times New Roman" w:cs="Times New Roman"/>
          <w:color w:val="000000"/>
          <w:sz w:val="24"/>
          <w:szCs w:val="24"/>
        </w:rPr>
      </w:pPr>
      <w:r w:rsidRPr="00D85612">
        <w:rPr>
          <w:rFonts w:ascii="Arial" w:eastAsia="Times New Roman" w:hAnsi="Arial" w:cs="Arial"/>
          <w:color w:val="000000"/>
          <w:sz w:val="20"/>
          <w:szCs w:val="20"/>
        </w:rPr>
        <w:lastRenderedPageBreak/>
        <w:t>3.10.</w:t>
      </w:r>
      <w:r w:rsidRPr="00D85612">
        <w:rPr>
          <w:rFonts w:ascii="Times New Roman" w:eastAsia="Times New Roman" w:hAnsi="Times New Roman" w:cs="Times New Roman"/>
          <w:color w:val="000000"/>
          <w:sz w:val="14"/>
          <w:szCs w:val="14"/>
        </w:rPr>
        <w:t>                        </w:t>
      </w:r>
      <w:r w:rsidRPr="00D85612">
        <w:rPr>
          <w:rFonts w:ascii="Arial" w:eastAsia="Times New Roman" w:hAnsi="Arial" w:cs="Arial"/>
          <w:color w:val="000000"/>
          <w:sz w:val="24"/>
          <w:szCs w:val="24"/>
        </w:rPr>
        <w:t>An alternative solution to this problem would be to dissociate the access and benefit-sharing topic from the future instrument to UNCLOS and to tackle it through a non-legally binding political instrument in the form of a declaration or protocol. This solution offers several benefits. The first is that it avoids reopening discussions and creating uncertainty vis-à-vis institutional and administrative arrangements under the future instrument. The second is that it creates the opportunity to put the debate on marine genetic resources in ABNJ aside and postpone it until enough evidence is available to support the argument that the biotechnological industry is making huge profits from the commercial exploitation of deep-sea genetic resources. The third is that it reduces the risk of slowing down the progress towards the achievement of other key objectives under the instrument package deal including areas-based management tools such as marine protected areas, environmental impact assessments, capacity-building, and transfer of marine technology. The fourth and certainly the most obvious is that it makes it possible to accelerate the negotiating process leading to the adoption of the instrument and ensuring the legal protection of marine biodiversity in ABNJ.</w:t>
      </w:r>
    </w:p>
    <w:p w:rsidR="00D85612" w:rsidRPr="00D85612" w:rsidRDefault="00D85612" w:rsidP="00D85612">
      <w:pPr>
        <w:spacing w:after="0" w:line="360" w:lineRule="atLeast"/>
        <w:ind w:left="567" w:hanging="283"/>
        <w:jc w:val="both"/>
        <w:rPr>
          <w:rFonts w:ascii="Times New Roman" w:eastAsia="Times New Roman" w:hAnsi="Times New Roman" w:cs="Times New Roman"/>
          <w:color w:val="000000"/>
          <w:sz w:val="24"/>
          <w:szCs w:val="24"/>
        </w:rPr>
      </w:pPr>
      <w:r w:rsidRPr="00D85612">
        <w:rPr>
          <w:rFonts w:ascii="Arial" w:eastAsia="Times New Roman" w:hAnsi="Arial" w:cs="Arial"/>
          <w:color w:val="000000"/>
          <w:sz w:val="24"/>
          <w:szCs w:val="24"/>
        </w:rPr>
        <w:t> </w:t>
      </w:r>
    </w:p>
    <w:p w:rsidR="00D85612" w:rsidRPr="00D85612" w:rsidRDefault="00D85612" w:rsidP="00D85612">
      <w:pPr>
        <w:spacing w:after="0" w:line="360" w:lineRule="atLeast"/>
        <w:ind w:left="567" w:hanging="283"/>
        <w:jc w:val="both"/>
        <w:rPr>
          <w:rFonts w:ascii="Times New Roman" w:eastAsia="Times New Roman" w:hAnsi="Times New Roman" w:cs="Times New Roman"/>
          <w:color w:val="000000"/>
          <w:sz w:val="24"/>
          <w:szCs w:val="24"/>
        </w:rPr>
      </w:pPr>
      <w:r w:rsidRPr="00D85612">
        <w:rPr>
          <w:rFonts w:ascii="Arial" w:eastAsia="Times New Roman" w:hAnsi="Arial" w:cs="Arial"/>
          <w:color w:val="000000"/>
          <w:sz w:val="20"/>
          <w:szCs w:val="20"/>
        </w:rPr>
        <w:t>3.11.</w:t>
      </w:r>
      <w:r w:rsidRPr="00D85612">
        <w:rPr>
          <w:rFonts w:ascii="Times New Roman" w:eastAsia="Times New Roman" w:hAnsi="Times New Roman" w:cs="Times New Roman"/>
          <w:color w:val="000000"/>
          <w:sz w:val="14"/>
          <w:szCs w:val="14"/>
        </w:rPr>
        <w:t>                        </w:t>
      </w:r>
      <w:r w:rsidRPr="00D85612">
        <w:rPr>
          <w:rFonts w:ascii="Arial" w:eastAsia="Times New Roman" w:hAnsi="Arial" w:cs="Arial"/>
          <w:color w:val="000000"/>
          <w:sz w:val="24"/>
          <w:szCs w:val="24"/>
        </w:rPr>
        <w:t>Further to that, non-binding political instruments, as opposed to legally binding agreements (e.g. treaties), have the advantage that they can be negotiated and concluded rapidly (e.g. no need for domestic treaty ratification process). Because they are devoid of any legal effect (e.g. legal commitment and non-compliance sanctions), States are more inclined to sign such instruments.</w:t>
      </w:r>
      <w:bookmarkStart w:id="8" w:name="_ftnref8"/>
      <w:bookmarkEnd w:id="8"/>
      <w:r w:rsidRPr="00D85612">
        <w:rPr>
          <w:rFonts w:ascii="Times New Roman" w:eastAsia="Times New Roman" w:hAnsi="Times New Roman" w:cs="Times New Roman"/>
          <w:color w:val="000000"/>
          <w:sz w:val="24"/>
          <w:szCs w:val="24"/>
        </w:rPr>
        <w:fldChar w:fldCharType="begin"/>
      </w:r>
      <w:r w:rsidRPr="00D85612">
        <w:rPr>
          <w:rFonts w:ascii="Times New Roman" w:eastAsia="Times New Roman" w:hAnsi="Times New Roman" w:cs="Times New Roman"/>
          <w:color w:val="000000"/>
          <w:sz w:val="24"/>
          <w:szCs w:val="24"/>
        </w:rPr>
        <w:instrText xml:space="preserve"> HYPERLINK "http://data.parliament.uk/writtenevidence/committeeevidence.svc/evidencedocument/environmental-audit-committee/sustainable-seas/written/83074.html" \l "_ftn8" </w:instrText>
      </w:r>
      <w:r w:rsidRPr="00D85612">
        <w:rPr>
          <w:rFonts w:ascii="Times New Roman" w:eastAsia="Times New Roman" w:hAnsi="Times New Roman" w:cs="Times New Roman"/>
          <w:color w:val="000000"/>
          <w:sz w:val="24"/>
          <w:szCs w:val="24"/>
        </w:rPr>
        <w:fldChar w:fldCharType="separate"/>
      </w:r>
      <w:r w:rsidRPr="00D85612">
        <w:rPr>
          <w:rFonts w:ascii="Times New Roman" w:eastAsia="Times New Roman" w:hAnsi="Times New Roman" w:cs="Times New Roman"/>
          <w:color w:val="0000FF"/>
          <w:sz w:val="24"/>
          <w:szCs w:val="24"/>
          <w:u w:val="single"/>
        </w:rPr>
        <w:t>[8]</w:t>
      </w:r>
      <w:r w:rsidRPr="00D85612">
        <w:rPr>
          <w:rFonts w:ascii="Times New Roman" w:eastAsia="Times New Roman" w:hAnsi="Times New Roman" w:cs="Times New Roman"/>
          <w:color w:val="000000"/>
          <w:sz w:val="24"/>
          <w:szCs w:val="24"/>
        </w:rPr>
        <w:fldChar w:fldCharType="end"/>
      </w:r>
      <w:r w:rsidRPr="00D85612">
        <w:rPr>
          <w:rFonts w:ascii="Arial" w:eastAsia="Times New Roman" w:hAnsi="Arial" w:cs="Arial"/>
          <w:color w:val="000000"/>
          <w:sz w:val="24"/>
          <w:szCs w:val="24"/>
        </w:rPr>
        <w:t> The conclusion of a “Declaration/Protocol on Access and benefit-sharing for marine genetic resources in ABNJ” could encourage countries like the USA to join and adhere to its principles. The USA is one of the world leaders in marine biotechnology.</w:t>
      </w:r>
      <w:bookmarkStart w:id="9" w:name="_ftnref9"/>
      <w:bookmarkEnd w:id="9"/>
      <w:r w:rsidRPr="00D85612">
        <w:rPr>
          <w:rFonts w:ascii="Times New Roman" w:eastAsia="Times New Roman" w:hAnsi="Times New Roman" w:cs="Times New Roman"/>
          <w:color w:val="000000"/>
          <w:sz w:val="24"/>
          <w:szCs w:val="24"/>
        </w:rPr>
        <w:fldChar w:fldCharType="begin"/>
      </w:r>
      <w:r w:rsidRPr="00D85612">
        <w:rPr>
          <w:rFonts w:ascii="Times New Roman" w:eastAsia="Times New Roman" w:hAnsi="Times New Roman" w:cs="Times New Roman"/>
          <w:color w:val="000000"/>
          <w:sz w:val="24"/>
          <w:szCs w:val="24"/>
        </w:rPr>
        <w:instrText xml:space="preserve"> HYPERLINK "http://data.parliament.uk/writtenevidence/committeeevidence.svc/evidencedocument/environmental-audit-committee/sustainable-seas/written/83074.html" \l "_ftn9" </w:instrText>
      </w:r>
      <w:r w:rsidRPr="00D85612">
        <w:rPr>
          <w:rFonts w:ascii="Times New Roman" w:eastAsia="Times New Roman" w:hAnsi="Times New Roman" w:cs="Times New Roman"/>
          <w:color w:val="000000"/>
          <w:sz w:val="24"/>
          <w:szCs w:val="24"/>
        </w:rPr>
        <w:fldChar w:fldCharType="separate"/>
      </w:r>
      <w:r w:rsidRPr="00D85612">
        <w:rPr>
          <w:rFonts w:ascii="Times New Roman" w:eastAsia="Times New Roman" w:hAnsi="Times New Roman" w:cs="Times New Roman"/>
          <w:color w:val="0000FF"/>
          <w:sz w:val="24"/>
          <w:szCs w:val="24"/>
          <w:u w:val="single"/>
        </w:rPr>
        <w:t>[9]</w:t>
      </w:r>
      <w:r w:rsidRPr="00D85612">
        <w:rPr>
          <w:rFonts w:ascii="Times New Roman" w:eastAsia="Times New Roman" w:hAnsi="Times New Roman" w:cs="Times New Roman"/>
          <w:color w:val="000000"/>
          <w:sz w:val="24"/>
          <w:szCs w:val="24"/>
        </w:rPr>
        <w:fldChar w:fldCharType="end"/>
      </w:r>
      <w:r w:rsidRPr="00D85612">
        <w:rPr>
          <w:rFonts w:ascii="Arial" w:eastAsia="Times New Roman" w:hAnsi="Arial" w:cs="Arial"/>
          <w:color w:val="000000"/>
          <w:sz w:val="24"/>
          <w:szCs w:val="24"/>
        </w:rPr>
        <w:t> Its participation is of paramount importance when it comes to designing a new access and benefit-sharing regime. However, in order to secure such participation, the Declaration/Protocol would need to operate independently and autonomously from the future instrument to UNCLOS or any other international agreement. It is indeed highly unlikely that the USA would sign such a Declaration/Protocol, especially if a connection exists with treaties or conventions, of which it is not a state party.</w:t>
      </w:r>
    </w:p>
    <w:p w:rsidR="00D85612" w:rsidRPr="00D85612" w:rsidRDefault="00D85612" w:rsidP="00D85612">
      <w:pPr>
        <w:spacing w:after="0" w:line="360" w:lineRule="atLeast"/>
        <w:ind w:left="567" w:hanging="283"/>
        <w:jc w:val="both"/>
        <w:rPr>
          <w:rFonts w:ascii="Times New Roman" w:eastAsia="Times New Roman" w:hAnsi="Times New Roman" w:cs="Times New Roman"/>
          <w:color w:val="000000"/>
          <w:sz w:val="24"/>
          <w:szCs w:val="24"/>
        </w:rPr>
      </w:pPr>
      <w:r w:rsidRPr="00D85612">
        <w:rPr>
          <w:rFonts w:ascii="Arial" w:eastAsia="Times New Roman" w:hAnsi="Arial" w:cs="Arial"/>
          <w:color w:val="000000"/>
          <w:sz w:val="24"/>
          <w:szCs w:val="24"/>
        </w:rPr>
        <w:t> </w:t>
      </w:r>
    </w:p>
    <w:p w:rsidR="00D85612" w:rsidRPr="00D85612" w:rsidRDefault="00D85612" w:rsidP="00D85612">
      <w:pPr>
        <w:spacing w:after="0" w:line="360" w:lineRule="atLeast"/>
        <w:ind w:left="567" w:hanging="283"/>
        <w:jc w:val="both"/>
        <w:rPr>
          <w:rFonts w:ascii="Times New Roman" w:eastAsia="Times New Roman" w:hAnsi="Times New Roman" w:cs="Times New Roman"/>
          <w:color w:val="000000"/>
          <w:sz w:val="24"/>
          <w:szCs w:val="24"/>
        </w:rPr>
      </w:pPr>
      <w:r w:rsidRPr="00D85612">
        <w:rPr>
          <w:rFonts w:ascii="Arial" w:eastAsia="Times New Roman" w:hAnsi="Arial" w:cs="Arial"/>
          <w:color w:val="000000"/>
          <w:sz w:val="20"/>
          <w:szCs w:val="20"/>
        </w:rPr>
        <w:t>3.12.</w:t>
      </w:r>
      <w:r w:rsidRPr="00D85612">
        <w:rPr>
          <w:rFonts w:ascii="Times New Roman" w:eastAsia="Times New Roman" w:hAnsi="Times New Roman" w:cs="Times New Roman"/>
          <w:color w:val="000000"/>
          <w:sz w:val="14"/>
          <w:szCs w:val="14"/>
        </w:rPr>
        <w:t>                        </w:t>
      </w:r>
      <w:r w:rsidRPr="00D85612">
        <w:rPr>
          <w:rFonts w:ascii="Arial" w:eastAsia="Times New Roman" w:hAnsi="Arial" w:cs="Arial"/>
          <w:color w:val="000000"/>
          <w:sz w:val="24"/>
          <w:szCs w:val="24"/>
        </w:rPr>
        <w:t>In terms of institutional arrangements, the Declaration/Protocol could take inspiration from the Hamilton Declaration on Collaboration for the Conservation of the Sargasso Sea (Hamilton Declaration).</w:t>
      </w:r>
      <w:bookmarkStart w:id="10" w:name="_ftnref10"/>
      <w:bookmarkEnd w:id="10"/>
      <w:r w:rsidRPr="00D85612">
        <w:rPr>
          <w:rFonts w:ascii="Times New Roman" w:eastAsia="Times New Roman" w:hAnsi="Times New Roman" w:cs="Times New Roman"/>
          <w:color w:val="000000"/>
          <w:sz w:val="24"/>
          <w:szCs w:val="24"/>
        </w:rPr>
        <w:fldChar w:fldCharType="begin"/>
      </w:r>
      <w:r w:rsidRPr="00D85612">
        <w:rPr>
          <w:rFonts w:ascii="Times New Roman" w:eastAsia="Times New Roman" w:hAnsi="Times New Roman" w:cs="Times New Roman"/>
          <w:color w:val="000000"/>
          <w:sz w:val="24"/>
          <w:szCs w:val="24"/>
        </w:rPr>
        <w:instrText xml:space="preserve"> HYPERLINK "http://data.parliament.uk/writtenevidence/committeeevidence.svc/evidencedocument/environmental-audit-committee/sustainable-seas/written/83074.html" \l "_ftn10" </w:instrText>
      </w:r>
      <w:r w:rsidRPr="00D85612">
        <w:rPr>
          <w:rFonts w:ascii="Times New Roman" w:eastAsia="Times New Roman" w:hAnsi="Times New Roman" w:cs="Times New Roman"/>
          <w:color w:val="000000"/>
          <w:sz w:val="24"/>
          <w:szCs w:val="24"/>
        </w:rPr>
        <w:fldChar w:fldCharType="separate"/>
      </w:r>
      <w:r w:rsidRPr="00D85612">
        <w:rPr>
          <w:rFonts w:ascii="Times New Roman" w:eastAsia="Times New Roman" w:hAnsi="Times New Roman" w:cs="Times New Roman"/>
          <w:color w:val="0000FF"/>
          <w:sz w:val="24"/>
          <w:szCs w:val="24"/>
          <w:u w:val="single"/>
        </w:rPr>
        <w:t>[10]</w:t>
      </w:r>
      <w:r w:rsidRPr="00D85612">
        <w:rPr>
          <w:rFonts w:ascii="Times New Roman" w:eastAsia="Times New Roman" w:hAnsi="Times New Roman" w:cs="Times New Roman"/>
          <w:color w:val="000000"/>
          <w:sz w:val="24"/>
          <w:szCs w:val="24"/>
        </w:rPr>
        <w:fldChar w:fldCharType="end"/>
      </w:r>
      <w:r w:rsidRPr="00D85612">
        <w:rPr>
          <w:rFonts w:ascii="Arial" w:eastAsia="Times New Roman" w:hAnsi="Arial" w:cs="Arial"/>
          <w:color w:val="000000"/>
          <w:sz w:val="24"/>
          <w:szCs w:val="24"/>
        </w:rPr>
        <w:t xml:space="preserve"> The Hamilton </w:t>
      </w:r>
      <w:r w:rsidRPr="00D85612">
        <w:rPr>
          <w:rFonts w:ascii="Arial" w:eastAsia="Times New Roman" w:hAnsi="Arial" w:cs="Arial"/>
          <w:color w:val="000000"/>
          <w:sz w:val="24"/>
          <w:szCs w:val="24"/>
        </w:rPr>
        <w:lastRenderedPageBreak/>
        <w:t>Declaration is a non-legally binding political statement.</w:t>
      </w:r>
      <w:bookmarkStart w:id="11" w:name="_ftnref11"/>
      <w:bookmarkEnd w:id="11"/>
      <w:r w:rsidRPr="00D85612">
        <w:rPr>
          <w:rFonts w:ascii="Times New Roman" w:eastAsia="Times New Roman" w:hAnsi="Times New Roman" w:cs="Times New Roman"/>
          <w:color w:val="000000"/>
          <w:sz w:val="24"/>
          <w:szCs w:val="24"/>
        </w:rPr>
        <w:fldChar w:fldCharType="begin"/>
      </w:r>
      <w:r w:rsidRPr="00D85612">
        <w:rPr>
          <w:rFonts w:ascii="Times New Roman" w:eastAsia="Times New Roman" w:hAnsi="Times New Roman" w:cs="Times New Roman"/>
          <w:color w:val="000000"/>
          <w:sz w:val="24"/>
          <w:szCs w:val="24"/>
        </w:rPr>
        <w:instrText xml:space="preserve"> HYPERLINK "http://data.parliament.uk/writtenevidence/committeeevidence.svc/evidencedocument/environmental-audit-committee/sustainable-seas/written/83074.html" \l "_ftn11" </w:instrText>
      </w:r>
      <w:r w:rsidRPr="00D85612">
        <w:rPr>
          <w:rFonts w:ascii="Times New Roman" w:eastAsia="Times New Roman" w:hAnsi="Times New Roman" w:cs="Times New Roman"/>
          <w:color w:val="000000"/>
          <w:sz w:val="24"/>
          <w:szCs w:val="24"/>
        </w:rPr>
        <w:fldChar w:fldCharType="separate"/>
      </w:r>
      <w:r w:rsidRPr="00D85612">
        <w:rPr>
          <w:rFonts w:ascii="Times New Roman" w:eastAsia="Times New Roman" w:hAnsi="Times New Roman" w:cs="Times New Roman"/>
          <w:color w:val="0000FF"/>
          <w:sz w:val="24"/>
          <w:szCs w:val="24"/>
          <w:u w:val="single"/>
        </w:rPr>
        <w:t>[11]</w:t>
      </w:r>
      <w:r w:rsidRPr="00D85612">
        <w:rPr>
          <w:rFonts w:ascii="Times New Roman" w:eastAsia="Times New Roman" w:hAnsi="Times New Roman" w:cs="Times New Roman"/>
          <w:color w:val="000000"/>
          <w:sz w:val="24"/>
          <w:szCs w:val="24"/>
        </w:rPr>
        <w:fldChar w:fldCharType="end"/>
      </w:r>
      <w:r w:rsidRPr="00D85612">
        <w:rPr>
          <w:rFonts w:ascii="Arial" w:eastAsia="Times New Roman" w:hAnsi="Arial" w:cs="Arial"/>
          <w:color w:val="000000"/>
          <w:sz w:val="24"/>
          <w:szCs w:val="24"/>
        </w:rPr>
        <w:t xml:space="preserve"> It </w:t>
      </w:r>
      <w:proofErr w:type="gramStart"/>
      <w:r w:rsidRPr="00D85612">
        <w:rPr>
          <w:rFonts w:ascii="Arial" w:eastAsia="Times New Roman" w:hAnsi="Arial" w:cs="Arial"/>
          <w:color w:val="000000"/>
          <w:sz w:val="24"/>
          <w:szCs w:val="24"/>
        </w:rPr>
        <w:t>is designed</w:t>
      </w:r>
      <w:proofErr w:type="gramEnd"/>
      <w:r w:rsidRPr="00D85612">
        <w:rPr>
          <w:rFonts w:ascii="Arial" w:eastAsia="Times New Roman" w:hAnsi="Arial" w:cs="Arial"/>
          <w:color w:val="000000"/>
          <w:sz w:val="24"/>
          <w:szCs w:val="24"/>
        </w:rPr>
        <w:t xml:space="preserve"> with the aim of promoting collaboration between States, regional and international organizations for the conservation of the Sargasso Sea biodiversity in ABNJ. To achieve its goals, the Hamilton Declaration establishes institutional arrangements in order to promote and monitor a wide range of cooperative activities. The Sargasso Sea Commission, which encourages and facilitates voluntary collaboration toward the conservation of the Sargasso Sea, is the institutional cornerstone of the Hamilton Declaration.</w:t>
      </w:r>
      <w:bookmarkStart w:id="12" w:name="_ftnref12"/>
      <w:bookmarkEnd w:id="12"/>
      <w:r w:rsidRPr="00D85612">
        <w:rPr>
          <w:rFonts w:ascii="Times New Roman" w:eastAsia="Times New Roman" w:hAnsi="Times New Roman" w:cs="Times New Roman"/>
          <w:color w:val="000000"/>
          <w:sz w:val="24"/>
          <w:szCs w:val="24"/>
        </w:rPr>
        <w:fldChar w:fldCharType="begin"/>
      </w:r>
      <w:r w:rsidRPr="00D85612">
        <w:rPr>
          <w:rFonts w:ascii="Times New Roman" w:eastAsia="Times New Roman" w:hAnsi="Times New Roman" w:cs="Times New Roman"/>
          <w:color w:val="000000"/>
          <w:sz w:val="24"/>
          <w:szCs w:val="24"/>
        </w:rPr>
        <w:instrText xml:space="preserve"> HYPERLINK "http://data.parliament.uk/writtenevidence/committeeevidence.svc/evidencedocument/environmental-audit-committee/sustainable-seas/written/83074.html" \l "_ftn12" </w:instrText>
      </w:r>
      <w:r w:rsidRPr="00D85612">
        <w:rPr>
          <w:rFonts w:ascii="Times New Roman" w:eastAsia="Times New Roman" w:hAnsi="Times New Roman" w:cs="Times New Roman"/>
          <w:color w:val="000000"/>
          <w:sz w:val="24"/>
          <w:szCs w:val="24"/>
        </w:rPr>
        <w:fldChar w:fldCharType="separate"/>
      </w:r>
      <w:r w:rsidRPr="00D85612">
        <w:rPr>
          <w:rFonts w:ascii="Times New Roman" w:eastAsia="Times New Roman" w:hAnsi="Times New Roman" w:cs="Times New Roman"/>
          <w:color w:val="0000FF"/>
          <w:sz w:val="24"/>
          <w:szCs w:val="24"/>
          <w:u w:val="single"/>
        </w:rPr>
        <w:t>[12]</w:t>
      </w:r>
      <w:r w:rsidRPr="00D85612">
        <w:rPr>
          <w:rFonts w:ascii="Times New Roman" w:eastAsia="Times New Roman" w:hAnsi="Times New Roman" w:cs="Times New Roman"/>
          <w:color w:val="000000"/>
          <w:sz w:val="24"/>
          <w:szCs w:val="24"/>
        </w:rPr>
        <w:fldChar w:fldCharType="end"/>
      </w:r>
      <w:r w:rsidRPr="00D85612">
        <w:rPr>
          <w:rFonts w:ascii="Arial" w:eastAsia="Times New Roman" w:hAnsi="Arial" w:cs="Arial"/>
          <w:color w:val="000000"/>
          <w:sz w:val="24"/>
          <w:szCs w:val="24"/>
        </w:rPr>
        <w:t> The main peculiarity of the Commission lies in the fact that it is an informal intergovernmental organization (IIGO). An IIGO is an organisation without legal personality.</w:t>
      </w:r>
      <w:bookmarkStart w:id="13" w:name="_ftnref13"/>
      <w:bookmarkEnd w:id="13"/>
      <w:r w:rsidRPr="00D85612">
        <w:rPr>
          <w:rFonts w:ascii="Times New Roman" w:eastAsia="Times New Roman" w:hAnsi="Times New Roman" w:cs="Times New Roman"/>
          <w:color w:val="000000"/>
          <w:sz w:val="24"/>
          <w:szCs w:val="24"/>
        </w:rPr>
        <w:fldChar w:fldCharType="begin"/>
      </w:r>
      <w:r w:rsidRPr="00D85612">
        <w:rPr>
          <w:rFonts w:ascii="Times New Roman" w:eastAsia="Times New Roman" w:hAnsi="Times New Roman" w:cs="Times New Roman"/>
          <w:color w:val="000000"/>
          <w:sz w:val="24"/>
          <w:szCs w:val="24"/>
        </w:rPr>
        <w:instrText xml:space="preserve"> HYPERLINK "http://data.parliament.uk/writtenevidence/committeeevidence.svc/evidencedocument/environmental-audit-committee/sustainable-seas/written/83074.html" \l "_ftn13" </w:instrText>
      </w:r>
      <w:r w:rsidRPr="00D85612">
        <w:rPr>
          <w:rFonts w:ascii="Times New Roman" w:eastAsia="Times New Roman" w:hAnsi="Times New Roman" w:cs="Times New Roman"/>
          <w:color w:val="000000"/>
          <w:sz w:val="24"/>
          <w:szCs w:val="24"/>
        </w:rPr>
        <w:fldChar w:fldCharType="separate"/>
      </w:r>
      <w:r w:rsidRPr="00D85612">
        <w:rPr>
          <w:rFonts w:ascii="Times New Roman" w:eastAsia="Times New Roman" w:hAnsi="Times New Roman" w:cs="Times New Roman"/>
          <w:color w:val="0000FF"/>
          <w:sz w:val="24"/>
          <w:szCs w:val="24"/>
          <w:u w:val="single"/>
        </w:rPr>
        <w:t>[13]</w:t>
      </w:r>
      <w:r w:rsidRPr="00D85612">
        <w:rPr>
          <w:rFonts w:ascii="Times New Roman" w:eastAsia="Times New Roman" w:hAnsi="Times New Roman" w:cs="Times New Roman"/>
          <w:color w:val="000000"/>
          <w:sz w:val="24"/>
          <w:szCs w:val="24"/>
        </w:rPr>
        <w:fldChar w:fldCharType="end"/>
      </w:r>
      <w:r w:rsidRPr="00D85612">
        <w:rPr>
          <w:rFonts w:ascii="Arial" w:eastAsia="Times New Roman" w:hAnsi="Arial" w:cs="Arial"/>
          <w:color w:val="000000"/>
          <w:sz w:val="24"/>
          <w:szCs w:val="24"/>
        </w:rPr>
        <w:t> This means that the Commission is not capable of bearing rights and duties (e.g. treaty-making capacity, privileges and immunities, capacity to bring claims before international courts). It also means that it does not have a legal autonomy or a separate will (e.g. capacity to pursue its own objectives).</w:t>
      </w:r>
      <w:bookmarkStart w:id="14" w:name="_ftnref14"/>
      <w:bookmarkEnd w:id="14"/>
      <w:r w:rsidRPr="00D85612">
        <w:rPr>
          <w:rFonts w:ascii="Times New Roman" w:eastAsia="Times New Roman" w:hAnsi="Times New Roman" w:cs="Times New Roman"/>
          <w:color w:val="000000"/>
          <w:sz w:val="24"/>
          <w:szCs w:val="24"/>
        </w:rPr>
        <w:fldChar w:fldCharType="begin"/>
      </w:r>
      <w:r w:rsidRPr="00D85612">
        <w:rPr>
          <w:rFonts w:ascii="Times New Roman" w:eastAsia="Times New Roman" w:hAnsi="Times New Roman" w:cs="Times New Roman"/>
          <w:color w:val="000000"/>
          <w:sz w:val="24"/>
          <w:szCs w:val="24"/>
        </w:rPr>
        <w:instrText xml:space="preserve"> HYPERLINK "http://data.parliament.uk/writtenevidence/committeeevidence.svc/evidencedocument/environmental-audit-committee/sustainable-seas/written/83074.html" \l "_ftn14" </w:instrText>
      </w:r>
      <w:r w:rsidRPr="00D85612">
        <w:rPr>
          <w:rFonts w:ascii="Times New Roman" w:eastAsia="Times New Roman" w:hAnsi="Times New Roman" w:cs="Times New Roman"/>
          <w:color w:val="000000"/>
          <w:sz w:val="24"/>
          <w:szCs w:val="24"/>
        </w:rPr>
        <w:fldChar w:fldCharType="separate"/>
      </w:r>
      <w:r w:rsidRPr="00D85612">
        <w:rPr>
          <w:rFonts w:ascii="Times New Roman" w:eastAsia="Times New Roman" w:hAnsi="Times New Roman" w:cs="Times New Roman"/>
          <w:color w:val="0000FF"/>
          <w:sz w:val="24"/>
          <w:szCs w:val="24"/>
          <w:u w:val="single"/>
        </w:rPr>
        <w:t>[14]</w:t>
      </w:r>
      <w:r w:rsidRPr="00D85612">
        <w:rPr>
          <w:rFonts w:ascii="Times New Roman" w:eastAsia="Times New Roman" w:hAnsi="Times New Roman" w:cs="Times New Roman"/>
          <w:color w:val="000000"/>
          <w:sz w:val="24"/>
          <w:szCs w:val="24"/>
        </w:rPr>
        <w:fldChar w:fldCharType="end"/>
      </w:r>
      <w:r w:rsidRPr="00D85612">
        <w:rPr>
          <w:rFonts w:ascii="Arial" w:eastAsia="Times New Roman" w:hAnsi="Arial" w:cs="Arial"/>
          <w:color w:val="000000"/>
          <w:sz w:val="24"/>
          <w:szCs w:val="24"/>
        </w:rPr>
        <w:t xml:space="preserve"> Unlike a formal intergovernmental organization (FIGO), an IIGO </w:t>
      </w:r>
      <w:proofErr w:type="gramStart"/>
      <w:r w:rsidRPr="00D85612">
        <w:rPr>
          <w:rFonts w:ascii="Arial" w:eastAsia="Times New Roman" w:hAnsi="Arial" w:cs="Arial"/>
          <w:color w:val="000000"/>
          <w:sz w:val="24"/>
          <w:szCs w:val="24"/>
        </w:rPr>
        <w:t>is not formed</w:t>
      </w:r>
      <w:proofErr w:type="gramEnd"/>
      <w:r w:rsidRPr="00D85612">
        <w:rPr>
          <w:rFonts w:ascii="Arial" w:eastAsia="Times New Roman" w:hAnsi="Arial" w:cs="Arial"/>
          <w:color w:val="000000"/>
          <w:sz w:val="24"/>
          <w:szCs w:val="24"/>
        </w:rPr>
        <w:t xml:space="preserve"> by an internationally recognized treaty and relies mostly on a very weak organizational structure.</w:t>
      </w:r>
      <w:bookmarkStart w:id="15" w:name="_ftnref15"/>
      <w:bookmarkEnd w:id="15"/>
      <w:r w:rsidRPr="00D85612">
        <w:rPr>
          <w:rFonts w:ascii="Times New Roman" w:eastAsia="Times New Roman" w:hAnsi="Times New Roman" w:cs="Times New Roman"/>
          <w:color w:val="000000"/>
          <w:sz w:val="24"/>
          <w:szCs w:val="24"/>
        </w:rPr>
        <w:fldChar w:fldCharType="begin"/>
      </w:r>
      <w:r w:rsidRPr="00D85612">
        <w:rPr>
          <w:rFonts w:ascii="Times New Roman" w:eastAsia="Times New Roman" w:hAnsi="Times New Roman" w:cs="Times New Roman"/>
          <w:color w:val="000000"/>
          <w:sz w:val="24"/>
          <w:szCs w:val="24"/>
        </w:rPr>
        <w:instrText xml:space="preserve"> HYPERLINK "http://data.parliament.uk/writtenevidence/committeeevidence.svc/evidencedocument/environmental-audit-committee/sustainable-seas/written/83074.html" \l "_ftn15" </w:instrText>
      </w:r>
      <w:r w:rsidRPr="00D85612">
        <w:rPr>
          <w:rFonts w:ascii="Times New Roman" w:eastAsia="Times New Roman" w:hAnsi="Times New Roman" w:cs="Times New Roman"/>
          <w:color w:val="000000"/>
          <w:sz w:val="24"/>
          <w:szCs w:val="24"/>
        </w:rPr>
        <w:fldChar w:fldCharType="separate"/>
      </w:r>
      <w:r w:rsidRPr="00D85612">
        <w:rPr>
          <w:rFonts w:ascii="Times New Roman" w:eastAsia="Times New Roman" w:hAnsi="Times New Roman" w:cs="Times New Roman"/>
          <w:color w:val="0000FF"/>
          <w:sz w:val="24"/>
          <w:szCs w:val="24"/>
          <w:u w:val="single"/>
        </w:rPr>
        <w:t>[15]</w:t>
      </w:r>
      <w:r w:rsidRPr="00D85612">
        <w:rPr>
          <w:rFonts w:ascii="Times New Roman" w:eastAsia="Times New Roman" w:hAnsi="Times New Roman" w:cs="Times New Roman"/>
          <w:color w:val="000000"/>
          <w:sz w:val="24"/>
          <w:szCs w:val="24"/>
        </w:rPr>
        <w:fldChar w:fldCharType="end"/>
      </w:r>
    </w:p>
    <w:p w:rsidR="00D85612" w:rsidRPr="00D85612" w:rsidRDefault="00D85612" w:rsidP="00D85612">
      <w:pPr>
        <w:spacing w:after="0" w:line="360" w:lineRule="atLeast"/>
        <w:ind w:left="567" w:hanging="283"/>
        <w:jc w:val="both"/>
        <w:rPr>
          <w:rFonts w:ascii="Times New Roman" w:eastAsia="Times New Roman" w:hAnsi="Times New Roman" w:cs="Times New Roman"/>
          <w:color w:val="000000"/>
          <w:sz w:val="24"/>
          <w:szCs w:val="24"/>
        </w:rPr>
      </w:pPr>
      <w:r w:rsidRPr="00D85612">
        <w:rPr>
          <w:rFonts w:ascii="Arial" w:eastAsia="Times New Roman" w:hAnsi="Arial" w:cs="Arial"/>
          <w:color w:val="000000"/>
          <w:sz w:val="24"/>
          <w:szCs w:val="24"/>
        </w:rPr>
        <w:t> </w:t>
      </w:r>
    </w:p>
    <w:p w:rsidR="00D85612" w:rsidRPr="00D85612" w:rsidRDefault="00D85612" w:rsidP="00D85612">
      <w:pPr>
        <w:spacing w:after="0" w:line="360" w:lineRule="atLeast"/>
        <w:ind w:left="567" w:hanging="283"/>
        <w:jc w:val="both"/>
        <w:rPr>
          <w:rFonts w:ascii="Times New Roman" w:eastAsia="Times New Roman" w:hAnsi="Times New Roman" w:cs="Times New Roman"/>
          <w:color w:val="000000"/>
          <w:sz w:val="24"/>
          <w:szCs w:val="24"/>
        </w:rPr>
      </w:pPr>
      <w:r w:rsidRPr="00D85612">
        <w:rPr>
          <w:rFonts w:ascii="Arial" w:eastAsia="Times New Roman" w:hAnsi="Arial" w:cs="Arial"/>
          <w:color w:val="000000"/>
          <w:sz w:val="20"/>
          <w:szCs w:val="20"/>
        </w:rPr>
        <w:t>3.13.</w:t>
      </w:r>
      <w:r w:rsidRPr="00D85612">
        <w:rPr>
          <w:rFonts w:ascii="Times New Roman" w:eastAsia="Times New Roman" w:hAnsi="Times New Roman" w:cs="Times New Roman"/>
          <w:color w:val="000000"/>
          <w:sz w:val="14"/>
          <w:szCs w:val="14"/>
        </w:rPr>
        <w:t>                        </w:t>
      </w:r>
      <w:r w:rsidRPr="00D85612">
        <w:rPr>
          <w:rFonts w:ascii="Arial" w:eastAsia="Times New Roman" w:hAnsi="Arial" w:cs="Arial"/>
          <w:color w:val="000000"/>
          <w:sz w:val="24"/>
          <w:szCs w:val="24"/>
        </w:rPr>
        <w:t xml:space="preserve">Clearly, the Sargasso Sea Commission </w:t>
      </w:r>
      <w:proofErr w:type="gramStart"/>
      <w:r w:rsidRPr="00D85612">
        <w:rPr>
          <w:rFonts w:ascii="Arial" w:eastAsia="Times New Roman" w:hAnsi="Arial" w:cs="Arial"/>
          <w:color w:val="000000"/>
          <w:sz w:val="24"/>
          <w:szCs w:val="24"/>
        </w:rPr>
        <w:t>is formed</w:t>
      </w:r>
      <w:proofErr w:type="gramEnd"/>
      <w:r w:rsidRPr="00D85612">
        <w:rPr>
          <w:rFonts w:ascii="Arial" w:eastAsia="Times New Roman" w:hAnsi="Arial" w:cs="Arial"/>
          <w:color w:val="000000"/>
          <w:sz w:val="24"/>
          <w:szCs w:val="24"/>
        </w:rPr>
        <w:t xml:space="preserve"> under a non-legally binding political statement and is only supported by a small secretariat, the Commission Secretariat. Furthermore, an IIGO only exists because of the explicitly shared expectation of its members to act together to better respond to common challenges. In this respect, it provides for regular meetings (e.g. annual meetings </w:t>
      </w:r>
      <w:proofErr w:type="gramStart"/>
      <w:r w:rsidRPr="00D85612">
        <w:rPr>
          <w:rFonts w:ascii="Arial" w:eastAsia="Times New Roman" w:hAnsi="Arial" w:cs="Arial"/>
          <w:color w:val="000000"/>
          <w:sz w:val="24"/>
          <w:szCs w:val="24"/>
        </w:rPr>
        <w:t>which</w:t>
      </w:r>
      <w:proofErr w:type="gramEnd"/>
      <w:r w:rsidRPr="00D85612">
        <w:rPr>
          <w:rFonts w:ascii="Arial" w:eastAsia="Times New Roman" w:hAnsi="Arial" w:cs="Arial"/>
          <w:color w:val="000000"/>
          <w:sz w:val="24"/>
          <w:szCs w:val="24"/>
        </w:rPr>
        <w:t xml:space="preserve"> do not necessarily follow a fixed schedule) that enable IIGO members to “discuss common concerns, share information, build consensus, and possibly agree on joint action”.</w:t>
      </w:r>
      <w:bookmarkStart w:id="16" w:name="_ftnref16"/>
      <w:bookmarkEnd w:id="16"/>
      <w:r w:rsidRPr="00D85612">
        <w:rPr>
          <w:rFonts w:ascii="Times New Roman" w:eastAsia="Times New Roman" w:hAnsi="Times New Roman" w:cs="Times New Roman"/>
          <w:color w:val="000000"/>
          <w:sz w:val="24"/>
          <w:szCs w:val="24"/>
        </w:rPr>
        <w:fldChar w:fldCharType="begin"/>
      </w:r>
      <w:r w:rsidRPr="00D85612">
        <w:rPr>
          <w:rFonts w:ascii="Times New Roman" w:eastAsia="Times New Roman" w:hAnsi="Times New Roman" w:cs="Times New Roman"/>
          <w:color w:val="000000"/>
          <w:sz w:val="24"/>
          <w:szCs w:val="24"/>
        </w:rPr>
        <w:instrText xml:space="preserve"> HYPERLINK "http://data.parliament.uk/writtenevidence/committeeevidence.svc/evidencedocument/environmental-audit-committee/sustainable-seas/written/83074.html" \l "_ftn16" </w:instrText>
      </w:r>
      <w:r w:rsidRPr="00D85612">
        <w:rPr>
          <w:rFonts w:ascii="Times New Roman" w:eastAsia="Times New Roman" w:hAnsi="Times New Roman" w:cs="Times New Roman"/>
          <w:color w:val="000000"/>
          <w:sz w:val="24"/>
          <w:szCs w:val="24"/>
        </w:rPr>
        <w:fldChar w:fldCharType="separate"/>
      </w:r>
      <w:r w:rsidRPr="00D85612">
        <w:rPr>
          <w:rFonts w:ascii="Times New Roman" w:eastAsia="Times New Roman" w:hAnsi="Times New Roman" w:cs="Times New Roman"/>
          <w:color w:val="0000FF"/>
          <w:sz w:val="24"/>
          <w:szCs w:val="24"/>
          <w:u w:val="single"/>
        </w:rPr>
        <w:t>[16</w:t>
      </w:r>
      <w:proofErr w:type="gramStart"/>
      <w:r w:rsidRPr="00D85612">
        <w:rPr>
          <w:rFonts w:ascii="Times New Roman" w:eastAsia="Times New Roman" w:hAnsi="Times New Roman" w:cs="Times New Roman"/>
          <w:color w:val="0000FF"/>
          <w:sz w:val="24"/>
          <w:szCs w:val="24"/>
          <w:u w:val="single"/>
        </w:rPr>
        <w:t>]</w:t>
      </w:r>
      <w:proofErr w:type="gramEnd"/>
      <w:r w:rsidRPr="00D85612">
        <w:rPr>
          <w:rFonts w:ascii="Times New Roman" w:eastAsia="Times New Roman" w:hAnsi="Times New Roman" w:cs="Times New Roman"/>
          <w:color w:val="000000"/>
          <w:sz w:val="24"/>
          <w:szCs w:val="24"/>
        </w:rPr>
        <w:fldChar w:fldCharType="end"/>
      </w:r>
      <w:r w:rsidRPr="00D85612">
        <w:rPr>
          <w:rFonts w:ascii="Arial" w:eastAsia="Times New Roman" w:hAnsi="Arial" w:cs="Arial"/>
          <w:color w:val="000000"/>
          <w:sz w:val="24"/>
          <w:szCs w:val="24"/>
        </w:rPr>
        <w:t>In the case of the Sargasso Sea Commission, it has been established to achieve the common vision of Signatory States, namely to collaborate toward the conservation of the Sargasso Sea ecosystem for the benefit of present and future generations.</w:t>
      </w:r>
      <w:bookmarkStart w:id="17" w:name="_ftnref17"/>
      <w:bookmarkEnd w:id="17"/>
      <w:r w:rsidRPr="00D85612">
        <w:rPr>
          <w:rFonts w:ascii="Times New Roman" w:eastAsia="Times New Roman" w:hAnsi="Times New Roman" w:cs="Times New Roman"/>
          <w:color w:val="000000"/>
          <w:sz w:val="24"/>
          <w:szCs w:val="24"/>
        </w:rPr>
        <w:fldChar w:fldCharType="begin"/>
      </w:r>
      <w:r w:rsidRPr="00D85612">
        <w:rPr>
          <w:rFonts w:ascii="Times New Roman" w:eastAsia="Times New Roman" w:hAnsi="Times New Roman" w:cs="Times New Roman"/>
          <w:color w:val="000000"/>
          <w:sz w:val="24"/>
          <w:szCs w:val="24"/>
        </w:rPr>
        <w:instrText xml:space="preserve"> HYPERLINK "http://data.parliament.uk/writtenevidence/committeeevidence.svc/evidencedocument/environmental-audit-committee/sustainable-seas/written/83074.html" \l "_ftn17" </w:instrText>
      </w:r>
      <w:r w:rsidRPr="00D85612">
        <w:rPr>
          <w:rFonts w:ascii="Times New Roman" w:eastAsia="Times New Roman" w:hAnsi="Times New Roman" w:cs="Times New Roman"/>
          <w:color w:val="000000"/>
          <w:sz w:val="24"/>
          <w:szCs w:val="24"/>
        </w:rPr>
        <w:fldChar w:fldCharType="separate"/>
      </w:r>
      <w:r w:rsidRPr="00D85612">
        <w:rPr>
          <w:rFonts w:ascii="Times New Roman" w:eastAsia="Times New Roman" w:hAnsi="Times New Roman" w:cs="Times New Roman"/>
          <w:color w:val="0000FF"/>
          <w:sz w:val="24"/>
          <w:szCs w:val="24"/>
          <w:u w:val="single"/>
        </w:rPr>
        <w:t>[17]</w:t>
      </w:r>
      <w:r w:rsidRPr="00D85612">
        <w:rPr>
          <w:rFonts w:ascii="Times New Roman" w:eastAsia="Times New Roman" w:hAnsi="Times New Roman" w:cs="Times New Roman"/>
          <w:color w:val="000000"/>
          <w:sz w:val="24"/>
          <w:szCs w:val="24"/>
        </w:rPr>
        <w:fldChar w:fldCharType="end"/>
      </w:r>
      <w:r w:rsidRPr="00D85612">
        <w:rPr>
          <w:rFonts w:ascii="Arial" w:eastAsia="Times New Roman" w:hAnsi="Arial" w:cs="Arial"/>
          <w:color w:val="000000"/>
          <w:sz w:val="24"/>
          <w:szCs w:val="24"/>
        </w:rPr>
        <w:t> The activities and functionalities of the Commission are further overseen by the Meeting of Signatories (another institutional arrangement under the Hamilton Declaration), composed of representatives from each Signatory States which meet either virtually or physically at regular interval.</w:t>
      </w:r>
      <w:bookmarkStart w:id="18" w:name="_ftnref18"/>
      <w:bookmarkEnd w:id="18"/>
      <w:r w:rsidRPr="00D85612">
        <w:rPr>
          <w:rFonts w:ascii="Times New Roman" w:eastAsia="Times New Roman" w:hAnsi="Times New Roman" w:cs="Times New Roman"/>
          <w:color w:val="000000"/>
          <w:sz w:val="24"/>
          <w:szCs w:val="24"/>
        </w:rPr>
        <w:fldChar w:fldCharType="begin"/>
      </w:r>
      <w:r w:rsidRPr="00D85612">
        <w:rPr>
          <w:rFonts w:ascii="Times New Roman" w:eastAsia="Times New Roman" w:hAnsi="Times New Roman" w:cs="Times New Roman"/>
          <w:color w:val="000000"/>
          <w:sz w:val="24"/>
          <w:szCs w:val="24"/>
        </w:rPr>
        <w:instrText xml:space="preserve"> HYPERLINK "http://data.parliament.uk/writtenevidence/committeeevidence.svc/evidencedocument/environmental-audit-committee/sustainable-seas/written/83074.html" \l "_ftn18" </w:instrText>
      </w:r>
      <w:r w:rsidRPr="00D85612">
        <w:rPr>
          <w:rFonts w:ascii="Times New Roman" w:eastAsia="Times New Roman" w:hAnsi="Times New Roman" w:cs="Times New Roman"/>
          <w:color w:val="000000"/>
          <w:sz w:val="24"/>
          <w:szCs w:val="24"/>
        </w:rPr>
        <w:fldChar w:fldCharType="separate"/>
      </w:r>
      <w:r w:rsidRPr="00D85612">
        <w:rPr>
          <w:rFonts w:ascii="Times New Roman" w:eastAsia="Times New Roman" w:hAnsi="Times New Roman" w:cs="Times New Roman"/>
          <w:color w:val="0000FF"/>
          <w:sz w:val="24"/>
          <w:szCs w:val="24"/>
          <w:u w:val="single"/>
        </w:rPr>
        <w:t>[18]</w:t>
      </w:r>
      <w:r w:rsidRPr="00D85612">
        <w:rPr>
          <w:rFonts w:ascii="Times New Roman" w:eastAsia="Times New Roman" w:hAnsi="Times New Roman" w:cs="Times New Roman"/>
          <w:color w:val="000000"/>
          <w:sz w:val="24"/>
          <w:szCs w:val="24"/>
        </w:rPr>
        <w:fldChar w:fldCharType="end"/>
      </w:r>
      <w:r w:rsidRPr="00D85612">
        <w:rPr>
          <w:rFonts w:ascii="Arial" w:eastAsia="Times New Roman" w:hAnsi="Arial" w:cs="Arial"/>
          <w:color w:val="000000"/>
          <w:sz w:val="24"/>
          <w:szCs w:val="24"/>
        </w:rPr>
        <w:t xml:space="preserve"> Despite its very limited nature, an IIGO like the Sargasso Sea Commission has considerable benefits. </w:t>
      </w:r>
      <w:proofErr w:type="gramStart"/>
      <w:r w:rsidRPr="00D85612">
        <w:rPr>
          <w:rFonts w:ascii="Arial" w:eastAsia="Times New Roman" w:hAnsi="Arial" w:cs="Arial"/>
          <w:color w:val="000000"/>
          <w:sz w:val="24"/>
          <w:szCs w:val="24"/>
        </w:rPr>
        <w:t>First of all</w:t>
      </w:r>
      <w:proofErr w:type="gramEnd"/>
      <w:r w:rsidRPr="00D85612">
        <w:rPr>
          <w:rFonts w:ascii="Arial" w:eastAsia="Times New Roman" w:hAnsi="Arial" w:cs="Arial"/>
          <w:color w:val="000000"/>
          <w:sz w:val="24"/>
          <w:szCs w:val="24"/>
        </w:rPr>
        <w:t>, it provides Signatory States with greater flexibility than a FIGO.</w:t>
      </w:r>
      <w:bookmarkStart w:id="19" w:name="_ftnref19"/>
      <w:bookmarkEnd w:id="19"/>
      <w:r w:rsidRPr="00D85612">
        <w:rPr>
          <w:rFonts w:ascii="Times New Roman" w:eastAsia="Times New Roman" w:hAnsi="Times New Roman" w:cs="Times New Roman"/>
          <w:color w:val="000000"/>
          <w:sz w:val="24"/>
          <w:szCs w:val="24"/>
        </w:rPr>
        <w:fldChar w:fldCharType="begin"/>
      </w:r>
      <w:r w:rsidRPr="00D85612">
        <w:rPr>
          <w:rFonts w:ascii="Times New Roman" w:eastAsia="Times New Roman" w:hAnsi="Times New Roman" w:cs="Times New Roman"/>
          <w:color w:val="000000"/>
          <w:sz w:val="24"/>
          <w:szCs w:val="24"/>
        </w:rPr>
        <w:instrText xml:space="preserve"> HYPERLINK "http://data.parliament.uk/writtenevidence/committeeevidence.svc/evidencedocument/environmental-audit-committee/sustainable-seas/written/83074.html" \l "_ftn19" </w:instrText>
      </w:r>
      <w:r w:rsidRPr="00D85612">
        <w:rPr>
          <w:rFonts w:ascii="Times New Roman" w:eastAsia="Times New Roman" w:hAnsi="Times New Roman" w:cs="Times New Roman"/>
          <w:color w:val="000000"/>
          <w:sz w:val="24"/>
          <w:szCs w:val="24"/>
        </w:rPr>
        <w:fldChar w:fldCharType="separate"/>
      </w:r>
      <w:r w:rsidRPr="00D85612">
        <w:rPr>
          <w:rFonts w:ascii="Times New Roman" w:eastAsia="Times New Roman" w:hAnsi="Times New Roman" w:cs="Times New Roman"/>
          <w:color w:val="0000FF"/>
          <w:sz w:val="24"/>
          <w:szCs w:val="24"/>
          <w:u w:val="single"/>
        </w:rPr>
        <w:t>[19]</w:t>
      </w:r>
      <w:r w:rsidRPr="00D85612">
        <w:rPr>
          <w:rFonts w:ascii="Times New Roman" w:eastAsia="Times New Roman" w:hAnsi="Times New Roman" w:cs="Times New Roman"/>
          <w:color w:val="000000"/>
          <w:sz w:val="24"/>
          <w:szCs w:val="24"/>
        </w:rPr>
        <w:fldChar w:fldCharType="end"/>
      </w:r>
      <w:r w:rsidRPr="00D85612">
        <w:rPr>
          <w:rFonts w:ascii="Arial" w:eastAsia="Times New Roman" w:hAnsi="Arial" w:cs="Arial"/>
          <w:color w:val="000000"/>
          <w:sz w:val="24"/>
          <w:szCs w:val="24"/>
        </w:rPr>
        <w:t> For instance, States do not have to make strong commitments and have enough leeway to cope with unexpected changes or events.</w:t>
      </w:r>
      <w:bookmarkStart w:id="20" w:name="_ftnref20"/>
      <w:bookmarkEnd w:id="20"/>
      <w:r w:rsidRPr="00D85612">
        <w:rPr>
          <w:rFonts w:ascii="Times New Roman" w:eastAsia="Times New Roman" w:hAnsi="Times New Roman" w:cs="Times New Roman"/>
          <w:color w:val="000000"/>
          <w:sz w:val="24"/>
          <w:szCs w:val="24"/>
        </w:rPr>
        <w:fldChar w:fldCharType="begin"/>
      </w:r>
      <w:r w:rsidRPr="00D85612">
        <w:rPr>
          <w:rFonts w:ascii="Times New Roman" w:eastAsia="Times New Roman" w:hAnsi="Times New Roman" w:cs="Times New Roman"/>
          <w:color w:val="000000"/>
          <w:sz w:val="24"/>
          <w:szCs w:val="24"/>
        </w:rPr>
        <w:instrText xml:space="preserve"> HYPERLINK "http://data.parliament.uk/writtenevidence/committeeevidence.svc/evidencedocument/environmental-audit-committee/sustainable-seas/written/83074.html" \l "_ftn20" </w:instrText>
      </w:r>
      <w:r w:rsidRPr="00D85612">
        <w:rPr>
          <w:rFonts w:ascii="Times New Roman" w:eastAsia="Times New Roman" w:hAnsi="Times New Roman" w:cs="Times New Roman"/>
          <w:color w:val="000000"/>
          <w:sz w:val="24"/>
          <w:szCs w:val="24"/>
        </w:rPr>
        <w:fldChar w:fldCharType="separate"/>
      </w:r>
      <w:r w:rsidRPr="00D85612">
        <w:rPr>
          <w:rFonts w:ascii="Times New Roman" w:eastAsia="Times New Roman" w:hAnsi="Times New Roman" w:cs="Times New Roman"/>
          <w:color w:val="0000FF"/>
          <w:sz w:val="24"/>
          <w:szCs w:val="24"/>
          <w:u w:val="single"/>
        </w:rPr>
        <w:t>[20]</w:t>
      </w:r>
      <w:r w:rsidRPr="00D85612">
        <w:rPr>
          <w:rFonts w:ascii="Times New Roman" w:eastAsia="Times New Roman" w:hAnsi="Times New Roman" w:cs="Times New Roman"/>
          <w:color w:val="000000"/>
          <w:sz w:val="24"/>
          <w:szCs w:val="24"/>
        </w:rPr>
        <w:fldChar w:fldCharType="end"/>
      </w:r>
      <w:r w:rsidRPr="00D85612">
        <w:rPr>
          <w:rFonts w:ascii="Arial" w:eastAsia="Times New Roman" w:hAnsi="Arial" w:cs="Arial"/>
          <w:color w:val="000000"/>
          <w:sz w:val="24"/>
          <w:szCs w:val="24"/>
        </w:rPr>
        <w:t xml:space="preserve"> Secondly, </w:t>
      </w:r>
      <w:r w:rsidRPr="00D85612">
        <w:rPr>
          <w:rFonts w:ascii="Arial" w:eastAsia="Times New Roman" w:hAnsi="Arial" w:cs="Arial"/>
          <w:color w:val="000000"/>
          <w:sz w:val="24"/>
          <w:szCs w:val="24"/>
        </w:rPr>
        <w:lastRenderedPageBreak/>
        <w:t>it enhances voluntary collaboration between governments, national, regional and international organizations and facilitates the exchange of information and data.</w:t>
      </w:r>
      <w:bookmarkStart w:id="21" w:name="_ftnref21"/>
      <w:bookmarkEnd w:id="21"/>
      <w:r w:rsidRPr="00D85612">
        <w:rPr>
          <w:rFonts w:ascii="Times New Roman" w:eastAsia="Times New Roman" w:hAnsi="Times New Roman" w:cs="Times New Roman"/>
          <w:color w:val="000000"/>
          <w:sz w:val="24"/>
          <w:szCs w:val="24"/>
        </w:rPr>
        <w:fldChar w:fldCharType="begin"/>
      </w:r>
      <w:r w:rsidRPr="00D85612">
        <w:rPr>
          <w:rFonts w:ascii="Times New Roman" w:eastAsia="Times New Roman" w:hAnsi="Times New Roman" w:cs="Times New Roman"/>
          <w:color w:val="000000"/>
          <w:sz w:val="24"/>
          <w:szCs w:val="24"/>
        </w:rPr>
        <w:instrText xml:space="preserve"> HYPERLINK "http://data.parliament.uk/writtenevidence/committeeevidence.svc/evidencedocument/environmental-audit-committee/sustainable-seas/written/83074.html" \l "_ftn21" </w:instrText>
      </w:r>
      <w:r w:rsidRPr="00D85612">
        <w:rPr>
          <w:rFonts w:ascii="Times New Roman" w:eastAsia="Times New Roman" w:hAnsi="Times New Roman" w:cs="Times New Roman"/>
          <w:color w:val="000000"/>
          <w:sz w:val="24"/>
          <w:szCs w:val="24"/>
        </w:rPr>
        <w:fldChar w:fldCharType="separate"/>
      </w:r>
      <w:r w:rsidRPr="00D85612">
        <w:rPr>
          <w:rFonts w:ascii="Times New Roman" w:eastAsia="Times New Roman" w:hAnsi="Times New Roman" w:cs="Times New Roman"/>
          <w:color w:val="0000FF"/>
          <w:sz w:val="24"/>
          <w:szCs w:val="24"/>
          <w:u w:val="single"/>
        </w:rPr>
        <w:t>[21]</w:t>
      </w:r>
      <w:r w:rsidRPr="00D85612">
        <w:rPr>
          <w:rFonts w:ascii="Times New Roman" w:eastAsia="Times New Roman" w:hAnsi="Times New Roman" w:cs="Times New Roman"/>
          <w:color w:val="000000"/>
          <w:sz w:val="24"/>
          <w:szCs w:val="24"/>
        </w:rPr>
        <w:fldChar w:fldCharType="end"/>
      </w:r>
      <w:r w:rsidRPr="00D85612">
        <w:rPr>
          <w:rFonts w:ascii="Arial" w:eastAsia="Times New Roman" w:hAnsi="Arial" w:cs="Arial"/>
          <w:color w:val="000000"/>
          <w:sz w:val="24"/>
          <w:szCs w:val="24"/>
        </w:rPr>
        <w:t> Thirdly, it minimizes organizational structures and staffs, which in turn reduces costs.</w:t>
      </w:r>
      <w:bookmarkStart w:id="22" w:name="_ftnref22"/>
      <w:bookmarkEnd w:id="22"/>
      <w:r w:rsidRPr="00D85612">
        <w:rPr>
          <w:rFonts w:ascii="Times New Roman" w:eastAsia="Times New Roman" w:hAnsi="Times New Roman" w:cs="Times New Roman"/>
          <w:color w:val="000000"/>
          <w:sz w:val="24"/>
          <w:szCs w:val="24"/>
        </w:rPr>
        <w:fldChar w:fldCharType="begin"/>
      </w:r>
      <w:r w:rsidRPr="00D85612">
        <w:rPr>
          <w:rFonts w:ascii="Times New Roman" w:eastAsia="Times New Roman" w:hAnsi="Times New Roman" w:cs="Times New Roman"/>
          <w:color w:val="000000"/>
          <w:sz w:val="24"/>
          <w:szCs w:val="24"/>
        </w:rPr>
        <w:instrText xml:space="preserve"> HYPERLINK "http://data.parliament.uk/writtenevidence/committeeevidence.svc/evidencedocument/environmental-audit-committee/sustainable-seas/written/83074.html" \l "_ftn22" </w:instrText>
      </w:r>
      <w:r w:rsidRPr="00D85612">
        <w:rPr>
          <w:rFonts w:ascii="Times New Roman" w:eastAsia="Times New Roman" w:hAnsi="Times New Roman" w:cs="Times New Roman"/>
          <w:color w:val="000000"/>
          <w:sz w:val="24"/>
          <w:szCs w:val="24"/>
        </w:rPr>
        <w:fldChar w:fldCharType="separate"/>
      </w:r>
      <w:r w:rsidRPr="00D85612">
        <w:rPr>
          <w:rFonts w:ascii="Times New Roman" w:eastAsia="Times New Roman" w:hAnsi="Times New Roman" w:cs="Times New Roman"/>
          <w:color w:val="0000FF"/>
          <w:sz w:val="24"/>
          <w:szCs w:val="24"/>
          <w:u w:val="single"/>
        </w:rPr>
        <w:t>[22]</w:t>
      </w:r>
      <w:r w:rsidRPr="00D85612">
        <w:rPr>
          <w:rFonts w:ascii="Times New Roman" w:eastAsia="Times New Roman" w:hAnsi="Times New Roman" w:cs="Times New Roman"/>
          <w:color w:val="000000"/>
          <w:sz w:val="24"/>
          <w:szCs w:val="24"/>
        </w:rPr>
        <w:fldChar w:fldCharType="end"/>
      </w:r>
    </w:p>
    <w:p w:rsidR="00D85612" w:rsidRPr="00D85612" w:rsidRDefault="00D85612" w:rsidP="00D85612">
      <w:pPr>
        <w:spacing w:after="0" w:line="360" w:lineRule="atLeast"/>
        <w:ind w:left="567" w:hanging="283"/>
        <w:jc w:val="both"/>
        <w:rPr>
          <w:rFonts w:ascii="Times New Roman" w:eastAsia="Times New Roman" w:hAnsi="Times New Roman" w:cs="Times New Roman"/>
          <w:color w:val="000000"/>
          <w:sz w:val="24"/>
          <w:szCs w:val="24"/>
        </w:rPr>
      </w:pPr>
      <w:r w:rsidRPr="00D85612">
        <w:rPr>
          <w:rFonts w:ascii="Arial" w:eastAsia="Times New Roman" w:hAnsi="Arial" w:cs="Arial"/>
          <w:color w:val="000000"/>
          <w:sz w:val="24"/>
          <w:szCs w:val="24"/>
        </w:rPr>
        <w:t> </w:t>
      </w:r>
    </w:p>
    <w:p w:rsidR="00D85612" w:rsidRPr="00D85612" w:rsidRDefault="00D85612" w:rsidP="00D85612">
      <w:pPr>
        <w:spacing w:after="0" w:line="360" w:lineRule="atLeast"/>
        <w:ind w:left="567" w:hanging="283"/>
        <w:jc w:val="both"/>
        <w:rPr>
          <w:rFonts w:ascii="Times New Roman" w:eastAsia="Times New Roman" w:hAnsi="Times New Roman" w:cs="Times New Roman"/>
          <w:color w:val="000000"/>
          <w:sz w:val="24"/>
          <w:szCs w:val="24"/>
        </w:rPr>
      </w:pPr>
      <w:r w:rsidRPr="00D85612">
        <w:rPr>
          <w:rFonts w:ascii="Arial" w:eastAsia="Times New Roman" w:hAnsi="Arial" w:cs="Arial"/>
          <w:color w:val="000000"/>
          <w:sz w:val="20"/>
          <w:szCs w:val="20"/>
        </w:rPr>
        <w:t>3.14.</w:t>
      </w:r>
      <w:r w:rsidRPr="00D85612">
        <w:rPr>
          <w:rFonts w:ascii="Times New Roman" w:eastAsia="Times New Roman" w:hAnsi="Times New Roman" w:cs="Times New Roman"/>
          <w:color w:val="000000"/>
          <w:sz w:val="14"/>
          <w:szCs w:val="14"/>
        </w:rPr>
        <w:t>                        </w:t>
      </w:r>
      <w:r w:rsidRPr="00D85612">
        <w:rPr>
          <w:rFonts w:ascii="Arial" w:eastAsia="Times New Roman" w:hAnsi="Arial" w:cs="Arial"/>
          <w:color w:val="000000"/>
          <w:sz w:val="24"/>
          <w:szCs w:val="24"/>
        </w:rPr>
        <w:t xml:space="preserve">A similar IIGO </w:t>
      </w:r>
      <w:proofErr w:type="gramStart"/>
      <w:r w:rsidRPr="00D85612">
        <w:rPr>
          <w:rFonts w:ascii="Arial" w:eastAsia="Times New Roman" w:hAnsi="Arial" w:cs="Arial"/>
          <w:color w:val="000000"/>
          <w:sz w:val="24"/>
          <w:szCs w:val="24"/>
        </w:rPr>
        <w:t>could be established</w:t>
      </w:r>
      <w:proofErr w:type="gramEnd"/>
      <w:r w:rsidRPr="00D85612">
        <w:rPr>
          <w:rFonts w:ascii="Arial" w:eastAsia="Times New Roman" w:hAnsi="Arial" w:cs="Arial"/>
          <w:color w:val="000000"/>
          <w:sz w:val="24"/>
          <w:szCs w:val="24"/>
        </w:rPr>
        <w:t xml:space="preserve"> under the Declaration/Protocol. However, given that the issue of access and benefit-sharing for marine genetic resources in ABNJ concerns most, if not all, countries worldwide, such an IIGO will need the necessary organizational adjustments in order to operate effectively. Alike the Sargasso Sea Commission</w:t>
      </w:r>
      <w:proofErr w:type="gramStart"/>
      <w:r w:rsidRPr="00D85612">
        <w:rPr>
          <w:rFonts w:ascii="Arial" w:eastAsia="Times New Roman" w:hAnsi="Arial" w:cs="Arial"/>
          <w:color w:val="000000"/>
          <w:sz w:val="24"/>
          <w:szCs w:val="24"/>
        </w:rPr>
        <w:t>,</w:t>
      </w:r>
      <w:bookmarkStart w:id="23" w:name="_ftnref23"/>
      <w:bookmarkEnd w:id="23"/>
      <w:proofErr w:type="gramEnd"/>
      <w:r w:rsidRPr="00D85612">
        <w:rPr>
          <w:rFonts w:ascii="Times New Roman" w:eastAsia="Times New Roman" w:hAnsi="Times New Roman" w:cs="Times New Roman"/>
          <w:color w:val="000000"/>
          <w:sz w:val="24"/>
          <w:szCs w:val="24"/>
        </w:rPr>
        <w:fldChar w:fldCharType="begin"/>
      </w:r>
      <w:r w:rsidRPr="00D85612">
        <w:rPr>
          <w:rFonts w:ascii="Times New Roman" w:eastAsia="Times New Roman" w:hAnsi="Times New Roman" w:cs="Times New Roman"/>
          <w:color w:val="000000"/>
          <w:sz w:val="24"/>
          <w:szCs w:val="24"/>
        </w:rPr>
        <w:instrText xml:space="preserve"> HYPERLINK "http://data.parliament.uk/writtenevidence/committeeevidence.svc/evidencedocument/environmental-audit-committee/sustainable-seas/written/83074.html" \l "_ftn23" </w:instrText>
      </w:r>
      <w:r w:rsidRPr="00D85612">
        <w:rPr>
          <w:rFonts w:ascii="Times New Roman" w:eastAsia="Times New Roman" w:hAnsi="Times New Roman" w:cs="Times New Roman"/>
          <w:color w:val="000000"/>
          <w:sz w:val="24"/>
          <w:szCs w:val="24"/>
        </w:rPr>
        <w:fldChar w:fldCharType="separate"/>
      </w:r>
      <w:r w:rsidRPr="00D85612">
        <w:rPr>
          <w:rFonts w:ascii="Times New Roman" w:eastAsia="Times New Roman" w:hAnsi="Times New Roman" w:cs="Times New Roman"/>
          <w:color w:val="0000FF"/>
          <w:sz w:val="24"/>
          <w:szCs w:val="24"/>
          <w:u w:val="single"/>
        </w:rPr>
        <w:t>[23]</w:t>
      </w:r>
      <w:r w:rsidRPr="00D85612">
        <w:rPr>
          <w:rFonts w:ascii="Times New Roman" w:eastAsia="Times New Roman" w:hAnsi="Times New Roman" w:cs="Times New Roman"/>
          <w:color w:val="000000"/>
          <w:sz w:val="24"/>
          <w:szCs w:val="24"/>
        </w:rPr>
        <w:fldChar w:fldCharType="end"/>
      </w:r>
      <w:r w:rsidRPr="00D85612">
        <w:rPr>
          <w:rFonts w:ascii="Arial" w:eastAsia="Times New Roman" w:hAnsi="Arial" w:cs="Arial"/>
          <w:color w:val="000000"/>
          <w:sz w:val="24"/>
          <w:szCs w:val="24"/>
        </w:rPr>
        <w:t xml:space="preserve"> the IIGO could be composed of renowned scientists and other individuals of international repute that would serve in their personal capacity. This could also include </w:t>
      </w:r>
      <w:proofErr w:type="gramStart"/>
      <w:r w:rsidRPr="00D85612">
        <w:rPr>
          <w:rFonts w:ascii="Arial" w:eastAsia="Times New Roman" w:hAnsi="Arial" w:cs="Arial"/>
          <w:color w:val="000000"/>
          <w:sz w:val="24"/>
          <w:szCs w:val="24"/>
        </w:rPr>
        <w:t>highly-qualified</w:t>
      </w:r>
      <w:proofErr w:type="gramEnd"/>
      <w:r w:rsidRPr="00D85612">
        <w:rPr>
          <w:rFonts w:ascii="Arial" w:eastAsia="Times New Roman" w:hAnsi="Arial" w:cs="Arial"/>
          <w:color w:val="000000"/>
          <w:sz w:val="24"/>
          <w:szCs w:val="24"/>
        </w:rPr>
        <w:t xml:space="preserve"> experts in a variety of fields, including biotechnology, bioprospecting and intellectual property rights. As a first task, the </w:t>
      </w:r>
      <w:proofErr w:type="gramStart"/>
      <w:r w:rsidRPr="00D85612">
        <w:rPr>
          <w:rFonts w:ascii="Arial" w:eastAsia="Times New Roman" w:hAnsi="Arial" w:cs="Arial"/>
          <w:color w:val="000000"/>
          <w:sz w:val="24"/>
          <w:szCs w:val="24"/>
        </w:rPr>
        <w:t>newly-established</w:t>
      </w:r>
      <w:proofErr w:type="gramEnd"/>
      <w:r w:rsidRPr="00D85612">
        <w:rPr>
          <w:rFonts w:ascii="Arial" w:eastAsia="Times New Roman" w:hAnsi="Arial" w:cs="Arial"/>
          <w:color w:val="000000"/>
          <w:sz w:val="24"/>
          <w:szCs w:val="24"/>
        </w:rPr>
        <w:t xml:space="preserve"> IIGO could develop and promote a “Code of Conduct for Responsible Bioprospecting in ABNJ” comprising non-binding recommendations, guidelines and best practices on ABS. It could also monitor the scale and nature of bioprospecting activities in ABNJ through a web-based database platform.</w:t>
      </w:r>
    </w:p>
    <w:p w:rsidR="00D85612" w:rsidRPr="00D85612" w:rsidRDefault="00D85612" w:rsidP="00D85612">
      <w:pPr>
        <w:spacing w:after="0" w:line="360" w:lineRule="atLeast"/>
        <w:ind w:left="567" w:hanging="283"/>
        <w:jc w:val="both"/>
        <w:rPr>
          <w:rFonts w:ascii="Times New Roman" w:eastAsia="Times New Roman" w:hAnsi="Times New Roman" w:cs="Times New Roman"/>
          <w:color w:val="000000"/>
          <w:sz w:val="24"/>
          <w:szCs w:val="24"/>
        </w:rPr>
      </w:pPr>
      <w:r w:rsidRPr="00D85612">
        <w:rPr>
          <w:rFonts w:ascii="Arial" w:eastAsia="Times New Roman" w:hAnsi="Arial" w:cs="Arial"/>
          <w:color w:val="000000"/>
          <w:sz w:val="24"/>
          <w:szCs w:val="24"/>
        </w:rPr>
        <w:t> </w:t>
      </w:r>
    </w:p>
    <w:p w:rsidR="00D85612" w:rsidRPr="00D85612" w:rsidRDefault="00D85612" w:rsidP="00D85612">
      <w:pPr>
        <w:spacing w:after="0" w:line="360" w:lineRule="atLeast"/>
        <w:ind w:left="567" w:hanging="283"/>
        <w:jc w:val="both"/>
        <w:rPr>
          <w:rFonts w:ascii="Times New Roman" w:eastAsia="Times New Roman" w:hAnsi="Times New Roman" w:cs="Times New Roman"/>
          <w:color w:val="000000"/>
          <w:sz w:val="24"/>
          <w:szCs w:val="24"/>
        </w:rPr>
      </w:pPr>
      <w:r w:rsidRPr="00D85612">
        <w:rPr>
          <w:rFonts w:ascii="Arial" w:eastAsia="Times New Roman" w:hAnsi="Arial" w:cs="Arial"/>
          <w:color w:val="000000"/>
          <w:sz w:val="20"/>
          <w:szCs w:val="20"/>
        </w:rPr>
        <w:t>3.15.</w:t>
      </w:r>
      <w:r w:rsidRPr="00D85612">
        <w:rPr>
          <w:rFonts w:ascii="Times New Roman" w:eastAsia="Times New Roman" w:hAnsi="Times New Roman" w:cs="Times New Roman"/>
          <w:color w:val="000000"/>
          <w:sz w:val="14"/>
          <w:szCs w:val="14"/>
        </w:rPr>
        <w:t>                        </w:t>
      </w:r>
      <w:r w:rsidRPr="00D85612">
        <w:rPr>
          <w:rFonts w:ascii="Arial" w:eastAsia="Times New Roman" w:hAnsi="Arial" w:cs="Arial"/>
          <w:color w:val="000000"/>
          <w:sz w:val="24"/>
          <w:szCs w:val="24"/>
        </w:rPr>
        <w:t>Another important role for the IIGO is that it could serve as an international focal point for the gathering and exchange of information and data on Access and benefit-sharing practices. In addition to the IIGO, the establishment of other institutional structures would be required to further support and coordinate its activities.     </w:t>
      </w:r>
    </w:p>
    <w:p w:rsidR="00D85612" w:rsidRPr="00D85612" w:rsidRDefault="00D85612" w:rsidP="00D85612">
      <w:pPr>
        <w:spacing w:after="0" w:line="360" w:lineRule="atLeast"/>
        <w:ind w:left="567" w:hanging="283"/>
        <w:jc w:val="both"/>
        <w:rPr>
          <w:rFonts w:ascii="Times New Roman" w:eastAsia="Times New Roman" w:hAnsi="Times New Roman" w:cs="Times New Roman"/>
          <w:color w:val="000000"/>
          <w:sz w:val="24"/>
          <w:szCs w:val="24"/>
        </w:rPr>
      </w:pPr>
      <w:r w:rsidRPr="00D85612">
        <w:rPr>
          <w:rFonts w:ascii="Arial" w:eastAsia="Times New Roman" w:hAnsi="Arial" w:cs="Arial"/>
          <w:color w:val="000000"/>
          <w:sz w:val="24"/>
          <w:szCs w:val="24"/>
        </w:rPr>
        <w:t> </w:t>
      </w:r>
    </w:p>
    <w:p w:rsidR="00D85612" w:rsidRPr="00D85612" w:rsidRDefault="00D85612" w:rsidP="00D85612">
      <w:pPr>
        <w:spacing w:after="0" w:line="360" w:lineRule="atLeast"/>
        <w:ind w:left="567" w:hanging="283"/>
        <w:jc w:val="both"/>
        <w:rPr>
          <w:rFonts w:ascii="Times New Roman" w:eastAsia="Times New Roman" w:hAnsi="Times New Roman" w:cs="Times New Roman"/>
          <w:color w:val="000000"/>
          <w:sz w:val="24"/>
          <w:szCs w:val="24"/>
        </w:rPr>
      </w:pPr>
      <w:r w:rsidRPr="00D85612">
        <w:rPr>
          <w:rFonts w:ascii="Arial" w:eastAsia="Times New Roman" w:hAnsi="Arial" w:cs="Arial"/>
          <w:color w:val="000000"/>
          <w:sz w:val="20"/>
          <w:szCs w:val="20"/>
        </w:rPr>
        <w:t>3.16.</w:t>
      </w:r>
      <w:r w:rsidRPr="00D85612">
        <w:rPr>
          <w:rFonts w:ascii="Times New Roman" w:eastAsia="Times New Roman" w:hAnsi="Times New Roman" w:cs="Times New Roman"/>
          <w:color w:val="000000"/>
          <w:sz w:val="14"/>
          <w:szCs w:val="14"/>
        </w:rPr>
        <w:t>                        </w:t>
      </w:r>
      <w:r w:rsidRPr="00D85612">
        <w:rPr>
          <w:rFonts w:ascii="Arial" w:eastAsia="Times New Roman" w:hAnsi="Arial" w:cs="Arial"/>
          <w:color w:val="000000"/>
          <w:sz w:val="24"/>
          <w:szCs w:val="24"/>
        </w:rPr>
        <w:t xml:space="preserve">In terms of practical arrangements, the Declaration/protocol could elaborate a multilateral system for access and </w:t>
      </w:r>
      <w:proofErr w:type="gramStart"/>
      <w:r w:rsidRPr="00D85612">
        <w:rPr>
          <w:rFonts w:ascii="Arial" w:eastAsia="Times New Roman" w:hAnsi="Arial" w:cs="Arial"/>
          <w:color w:val="000000"/>
          <w:sz w:val="24"/>
          <w:szCs w:val="24"/>
        </w:rPr>
        <w:t>benefit-sharing</w:t>
      </w:r>
      <w:proofErr w:type="gramEnd"/>
      <w:r w:rsidRPr="00D85612">
        <w:rPr>
          <w:rFonts w:ascii="Arial" w:eastAsia="Times New Roman" w:hAnsi="Arial" w:cs="Arial"/>
          <w:color w:val="000000"/>
          <w:sz w:val="24"/>
          <w:szCs w:val="24"/>
        </w:rPr>
        <w:t> of marine genetic resources in ABNJ based partly on that of the FAO Treaty on Plant Genetic Resources for Food and Agriculture. The multilateral system could act as a common pool of </w:t>
      </w:r>
      <w:r w:rsidRPr="00D85612">
        <w:rPr>
          <w:rFonts w:ascii="Arial" w:eastAsia="Times New Roman" w:hAnsi="Arial" w:cs="Arial"/>
          <w:i/>
          <w:iCs/>
          <w:color w:val="000000"/>
          <w:sz w:val="24"/>
          <w:szCs w:val="24"/>
        </w:rPr>
        <w:t>ex-situ</w:t>
      </w:r>
      <w:r w:rsidRPr="00D85612">
        <w:rPr>
          <w:rFonts w:ascii="Arial" w:eastAsia="Times New Roman" w:hAnsi="Arial" w:cs="Arial"/>
          <w:color w:val="000000"/>
          <w:sz w:val="24"/>
          <w:szCs w:val="24"/>
        </w:rPr>
        <w:t> marine genetic resources. The idea of a common pool of </w:t>
      </w:r>
      <w:r w:rsidRPr="00D85612">
        <w:rPr>
          <w:rFonts w:ascii="Arial" w:eastAsia="Times New Roman" w:hAnsi="Arial" w:cs="Arial"/>
          <w:i/>
          <w:iCs/>
          <w:color w:val="000000"/>
          <w:sz w:val="24"/>
          <w:szCs w:val="24"/>
        </w:rPr>
        <w:t>ex-situ</w:t>
      </w:r>
      <w:r w:rsidRPr="00D85612">
        <w:rPr>
          <w:rFonts w:ascii="Arial" w:eastAsia="Times New Roman" w:hAnsi="Arial" w:cs="Arial"/>
          <w:color w:val="000000"/>
          <w:sz w:val="24"/>
          <w:szCs w:val="24"/>
        </w:rPr>
        <w:t> marine genetic resources </w:t>
      </w:r>
      <w:proofErr w:type="gramStart"/>
      <w:r w:rsidRPr="00D85612">
        <w:rPr>
          <w:rFonts w:ascii="Arial" w:eastAsia="Times New Roman" w:hAnsi="Arial" w:cs="Arial"/>
          <w:color w:val="000000"/>
          <w:sz w:val="24"/>
          <w:szCs w:val="24"/>
        </w:rPr>
        <w:t>has been proposed</w:t>
      </w:r>
      <w:proofErr w:type="gramEnd"/>
      <w:r w:rsidRPr="00D85612">
        <w:rPr>
          <w:rFonts w:ascii="Arial" w:eastAsia="Times New Roman" w:hAnsi="Arial" w:cs="Arial"/>
          <w:color w:val="000000"/>
          <w:sz w:val="24"/>
          <w:szCs w:val="24"/>
        </w:rPr>
        <w:t xml:space="preserve"> as a means of non-monetary benefit sharing. Facilitating greater access to </w:t>
      </w:r>
      <w:r w:rsidRPr="00D85612">
        <w:rPr>
          <w:rFonts w:ascii="Arial" w:eastAsia="Times New Roman" w:hAnsi="Arial" w:cs="Arial"/>
          <w:i/>
          <w:iCs/>
          <w:color w:val="000000"/>
          <w:sz w:val="24"/>
          <w:szCs w:val="24"/>
        </w:rPr>
        <w:t>ex-situ</w:t>
      </w:r>
      <w:r w:rsidRPr="00D85612">
        <w:rPr>
          <w:rFonts w:ascii="Arial" w:eastAsia="Times New Roman" w:hAnsi="Arial" w:cs="Arial"/>
          <w:color w:val="000000"/>
          <w:sz w:val="24"/>
          <w:szCs w:val="24"/>
        </w:rPr>
        <w:t xml:space="preserve"> samples and related data, especially to those lacking the necessary resources to sample in these environments, is a laudable concept and one that would promote and encourage marine scientific research. It would multiply the potential for exploitation of these valuable resources and mitigate the environmental impact of sampling in unique and fragile marine environments by preventing </w:t>
      </w:r>
      <w:r w:rsidRPr="00D85612">
        <w:rPr>
          <w:rFonts w:ascii="Arial" w:eastAsia="Times New Roman" w:hAnsi="Arial" w:cs="Arial"/>
          <w:color w:val="000000"/>
          <w:sz w:val="24"/>
          <w:szCs w:val="24"/>
        </w:rPr>
        <w:lastRenderedPageBreak/>
        <w:t xml:space="preserve">unnecessary re-sampling at the same location. In practice, such a scenario would require those sampling marine genetic resources from ABNJ to deposit a duplicate sample together with all associated environmental data in a centralized or distributed (virtual) repository. While some national bio-repositories focused solely on MGRs already exist (e.g. </w:t>
      </w:r>
      <w:proofErr w:type="spellStart"/>
      <w:r w:rsidRPr="00D85612">
        <w:rPr>
          <w:rFonts w:ascii="Arial" w:eastAsia="Times New Roman" w:hAnsi="Arial" w:cs="Arial"/>
          <w:color w:val="000000"/>
          <w:sz w:val="24"/>
          <w:szCs w:val="24"/>
        </w:rPr>
        <w:t>MarBank</w:t>
      </w:r>
      <w:proofErr w:type="spellEnd"/>
      <w:r w:rsidRPr="00D85612">
        <w:rPr>
          <w:rFonts w:ascii="Arial" w:eastAsia="Times New Roman" w:hAnsi="Arial" w:cs="Arial"/>
          <w:color w:val="000000"/>
          <w:sz w:val="24"/>
          <w:szCs w:val="24"/>
        </w:rPr>
        <w:t xml:space="preserve">, Norway’s national marine biobank, JAMSTEC AIMS), there are major questions regarding the potential feasibility of a single, centralized multinational bio-repository holding duplicates of all ABNJ-derived marine genetic resource. For instance, where such a repository </w:t>
      </w:r>
      <w:proofErr w:type="gramStart"/>
      <w:r w:rsidRPr="00D85612">
        <w:rPr>
          <w:rFonts w:ascii="Arial" w:eastAsia="Times New Roman" w:hAnsi="Arial" w:cs="Arial"/>
          <w:color w:val="000000"/>
          <w:sz w:val="24"/>
          <w:szCs w:val="24"/>
        </w:rPr>
        <w:t>would be based</w:t>
      </w:r>
      <w:proofErr w:type="gramEnd"/>
      <w:r w:rsidRPr="00D85612">
        <w:rPr>
          <w:rFonts w:ascii="Arial" w:eastAsia="Times New Roman" w:hAnsi="Arial" w:cs="Arial"/>
          <w:color w:val="000000"/>
          <w:sz w:val="24"/>
          <w:szCs w:val="24"/>
        </w:rPr>
        <w:t xml:space="preserve"> and how would samples be sub-sampled, maintained and transferred to it? Furthermore, sample collection methods and storage conditions would need to take account of all potential future applications. If, for example, a sample </w:t>
      </w:r>
      <w:proofErr w:type="gramStart"/>
      <w:r w:rsidRPr="00D85612">
        <w:rPr>
          <w:rFonts w:ascii="Arial" w:eastAsia="Times New Roman" w:hAnsi="Arial" w:cs="Arial"/>
          <w:color w:val="000000"/>
          <w:sz w:val="24"/>
          <w:szCs w:val="24"/>
        </w:rPr>
        <w:t>was taken and stored in a preservative medium with the intention of future taxonomic study,</w:t>
      </w:r>
      <w:proofErr w:type="gramEnd"/>
      <w:r w:rsidRPr="00D85612">
        <w:rPr>
          <w:rFonts w:ascii="Arial" w:eastAsia="Times New Roman" w:hAnsi="Arial" w:cs="Arial"/>
          <w:color w:val="000000"/>
          <w:sz w:val="24"/>
          <w:szCs w:val="24"/>
        </w:rPr>
        <w:t xml:space="preserve"> then use of that sample for biotechnology research may not be feasible, as more stringent storage conditions would be required. What requirements </w:t>
      </w:r>
      <w:proofErr w:type="gramStart"/>
      <w:r w:rsidRPr="00D85612">
        <w:rPr>
          <w:rFonts w:ascii="Arial" w:eastAsia="Times New Roman" w:hAnsi="Arial" w:cs="Arial"/>
          <w:color w:val="000000"/>
          <w:sz w:val="24"/>
          <w:szCs w:val="24"/>
        </w:rPr>
        <w:t>should be imposed</w:t>
      </w:r>
      <w:proofErr w:type="gramEnd"/>
      <w:r w:rsidRPr="00D85612">
        <w:rPr>
          <w:rFonts w:ascii="Arial" w:eastAsia="Times New Roman" w:hAnsi="Arial" w:cs="Arial"/>
          <w:color w:val="000000"/>
          <w:sz w:val="24"/>
          <w:szCs w:val="24"/>
        </w:rPr>
        <w:t xml:space="preserve"> concerning the quantity of sample to be deposited, given that the amount of biological material needed can vary broadly depending on the nature of the intended research?</w:t>
      </w:r>
    </w:p>
    <w:p w:rsidR="00D85612" w:rsidRPr="00D85612" w:rsidRDefault="00D85612" w:rsidP="00D85612">
      <w:pPr>
        <w:spacing w:after="0" w:line="360" w:lineRule="atLeast"/>
        <w:ind w:left="567" w:hanging="283"/>
        <w:jc w:val="both"/>
        <w:rPr>
          <w:rFonts w:ascii="Times New Roman" w:eastAsia="Times New Roman" w:hAnsi="Times New Roman" w:cs="Times New Roman"/>
          <w:color w:val="000000"/>
          <w:sz w:val="24"/>
          <w:szCs w:val="24"/>
        </w:rPr>
      </w:pPr>
      <w:r w:rsidRPr="00D85612">
        <w:rPr>
          <w:rFonts w:ascii="Arial" w:eastAsia="Times New Roman" w:hAnsi="Arial" w:cs="Arial"/>
          <w:color w:val="000000"/>
          <w:sz w:val="24"/>
          <w:szCs w:val="24"/>
        </w:rPr>
        <w:t> </w:t>
      </w:r>
    </w:p>
    <w:p w:rsidR="00D85612" w:rsidRPr="00D85612" w:rsidRDefault="00D85612" w:rsidP="00D85612">
      <w:pPr>
        <w:spacing w:after="0" w:line="360" w:lineRule="atLeast"/>
        <w:ind w:left="567" w:hanging="283"/>
        <w:jc w:val="both"/>
        <w:rPr>
          <w:rFonts w:ascii="Times New Roman" w:eastAsia="Times New Roman" w:hAnsi="Times New Roman" w:cs="Times New Roman"/>
          <w:color w:val="000000"/>
          <w:sz w:val="24"/>
          <w:szCs w:val="24"/>
        </w:rPr>
      </w:pPr>
      <w:r w:rsidRPr="00D85612">
        <w:rPr>
          <w:rFonts w:ascii="Arial" w:eastAsia="Times New Roman" w:hAnsi="Arial" w:cs="Arial"/>
          <w:color w:val="000000"/>
          <w:sz w:val="20"/>
          <w:szCs w:val="20"/>
        </w:rPr>
        <w:t>3.17.</w:t>
      </w:r>
      <w:r w:rsidRPr="00D85612">
        <w:rPr>
          <w:rFonts w:ascii="Times New Roman" w:eastAsia="Times New Roman" w:hAnsi="Times New Roman" w:cs="Times New Roman"/>
          <w:color w:val="000000"/>
          <w:sz w:val="14"/>
          <w:szCs w:val="14"/>
        </w:rPr>
        <w:t>                        </w:t>
      </w:r>
      <w:r w:rsidRPr="00D85612">
        <w:rPr>
          <w:rFonts w:ascii="Arial" w:eastAsia="Times New Roman" w:hAnsi="Arial" w:cs="Arial"/>
          <w:color w:val="000000"/>
          <w:sz w:val="24"/>
          <w:szCs w:val="24"/>
        </w:rPr>
        <w:t xml:space="preserve">The multilateral system developed under the Declaration/Protocol is unlikely to provide for effective monetary benefit-sharing mechanisms. At best, users could be encouraged to conclude a material transfer agreement (MTA) as an evidence of their </w:t>
      </w:r>
      <w:proofErr w:type="gramStart"/>
      <w:r w:rsidRPr="00D85612">
        <w:rPr>
          <w:rFonts w:ascii="Arial" w:eastAsia="Times New Roman" w:hAnsi="Arial" w:cs="Arial"/>
          <w:color w:val="000000"/>
          <w:sz w:val="24"/>
          <w:szCs w:val="24"/>
        </w:rPr>
        <w:t>best-practice</w:t>
      </w:r>
      <w:proofErr w:type="gramEnd"/>
      <w:r w:rsidRPr="00D85612">
        <w:rPr>
          <w:rFonts w:ascii="Arial" w:eastAsia="Times New Roman" w:hAnsi="Arial" w:cs="Arial"/>
          <w:color w:val="000000"/>
          <w:sz w:val="24"/>
          <w:szCs w:val="24"/>
        </w:rPr>
        <w:t>. MTAs are already very widely used between research institutions worldwide.  Such an agreement could provide for benefit-sharing trigger (e.g. patent rights on a product developed from the MLS resources) and require users to make voluntary or compulsory contribution to a fund mechanism (e.g. “Global Trust Fund”). Apart from the exchange of information, users could also be encouraged under the MTA to share, through the IIGO, other non-monetary benefits that could be similar to those of the standard material transfer agreement under the FAO Treaty. However, the major drawback of this option is that the decision to conclude such MTA </w:t>
      </w:r>
      <w:proofErr w:type="gramStart"/>
      <w:r w:rsidRPr="00D85612">
        <w:rPr>
          <w:rFonts w:ascii="Arial" w:eastAsia="Times New Roman" w:hAnsi="Arial" w:cs="Arial"/>
          <w:color w:val="000000"/>
          <w:sz w:val="24"/>
          <w:szCs w:val="24"/>
        </w:rPr>
        <w:t>is left</w:t>
      </w:r>
      <w:proofErr w:type="gramEnd"/>
      <w:r w:rsidRPr="00D85612">
        <w:rPr>
          <w:rFonts w:ascii="Arial" w:eastAsia="Times New Roman" w:hAnsi="Arial" w:cs="Arial"/>
          <w:color w:val="000000"/>
          <w:sz w:val="24"/>
          <w:szCs w:val="24"/>
        </w:rPr>
        <w:t xml:space="preserve"> to the discretion of the users. Yet, this possibility should not be excluded, especially given the high degree of discipline and </w:t>
      </w:r>
      <w:proofErr w:type="gramStart"/>
      <w:r w:rsidRPr="00D85612">
        <w:rPr>
          <w:rFonts w:ascii="Arial" w:eastAsia="Times New Roman" w:hAnsi="Arial" w:cs="Arial"/>
          <w:color w:val="000000"/>
          <w:sz w:val="24"/>
          <w:szCs w:val="24"/>
        </w:rPr>
        <w:t>cooperation which</w:t>
      </w:r>
      <w:proofErr w:type="gramEnd"/>
      <w:r w:rsidRPr="00D85612">
        <w:rPr>
          <w:rFonts w:ascii="Arial" w:eastAsia="Times New Roman" w:hAnsi="Arial" w:cs="Arial"/>
          <w:color w:val="000000"/>
          <w:sz w:val="24"/>
          <w:szCs w:val="24"/>
        </w:rPr>
        <w:t xml:space="preserve"> is exercised within the scientific community. Lastly, the elaboration of a non-legally binding instrument such as Declaration/Protocol on access and </w:t>
      </w:r>
      <w:proofErr w:type="gramStart"/>
      <w:r w:rsidRPr="00D85612">
        <w:rPr>
          <w:rFonts w:ascii="Arial" w:eastAsia="Times New Roman" w:hAnsi="Arial" w:cs="Arial"/>
          <w:color w:val="000000"/>
          <w:sz w:val="24"/>
          <w:szCs w:val="24"/>
        </w:rPr>
        <w:t>benefit-sharing</w:t>
      </w:r>
      <w:proofErr w:type="gramEnd"/>
      <w:r w:rsidRPr="00D85612">
        <w:rPr>
          <w:rFonts w:ascii="Arial" w:eastAsia="Times New Roman" w:hAnsi="Arial" w:cs="Arial"/>
          <w:color w:val="000000"/>
          <w:sz w:val="24"/>
          <w:szCs w:val="24"/>
        </w:rPr>
        <w:t xml:space="preserve"> of marine genetic resources in ABNJ represents a valuable alternative to an access and benefit-sharing regime under the IA. However, it also raises many issues and uncertainties. While it provides institutional solutions such as the creation of an </w:t>
      </w:r>
      <w:r w:rsidRPr="00D85612">
        <w:rPr>
          <w:rFonts w:ascii="Arial" w:eastAsia="Times New Roman" w:hAnsi="Arial" w:cs="Arial"/>
          <w:color w:val="000000"/>
          <w:sz w:val="24"/>
          <w:szCs w:val="24"/>
        </w:rPr>
        <w:lastRenderedPageBreak/>
        <w:t xml:space="preserve">IIGO, it is not clear how such an organization </w:t>
      </w:r>
      <w:proofErr w:type="gramStart"/>
      <w:r w:rsidRPr="00D85612">
        <w:rPr>
          <w:rFonts w:ascii="Arial" w:eastAsia="Times New Roman" w:hAnsi="Arial" w:cs="Arial"/>
          <w:color w:val="000000"/>
          <w:sz w:val="24"/>
          <w:szCs w:val="24"/>
        </w:rPr>
        <w:t>can be funded</w:t>
      </w:r>
      <w:proofErr w:type="gramEnd"/>
      <w:r w:rsidRPr="00D85612">
        <w:rPr>
          <w:rFonts w:ascii="Arial" w:eastAsia="Times New Roman" w:hAnsi="Arial" w:cs="Arial"/>
          <w:color w:val="000000"/>
          <w:sz w:val="24"/>
          <w:szCs w:val="24"/>
        </w:rPr>
        <w:t xml:space="preserve"> in practice. Neither is it clear how such an organization can effectively address the numerous challenges posed by access and </w:t>
      </w:r>
      <w:proofErr w:type="gramStart"/>
      <w:r w:rsidRPr="00D85612">
        <w:rPr>
          <w:rFonts w:ascii="Arial" w:eastAsia="Times New Roman" w:hAnsi="Arial" w:cs="Arial"/>
          <w:color w:val="000000"/>
          <w:sz w:val="24"/>
          <w:szCs w:val="24"/>
        </w:rPr>
        <w:t>benefit-sharing</w:t>
      </w:r>
      <w:proofErr w:type="gramEnd"/>
      <w:r w:rsidRPr="00D85612">
        <w:rPr>
          <w:rFonts w:ascii="Arial" w:eastAsia="Times New Roman" w:hAnsi="Arial" w:cs="Arial"/>
          <w:color w:val="000000"/>
          <w:sz w:val="24"/>
          <w:szCs w:val="24"/>
        </w:rPr>
        <w:t xml:space="preserve">. Of course, the functioning and operation of the IIGO or any other structure established under the Declaration/Protocol </w:t>
      </w:r>
      <w:proofErr w:type="gramStart"/>
      <w:r w:rsidRPr="00D85612">
        <w:rPr>
          <w:rFonts w:ascii="Arial" w:eastAsia="Times New Roman" w:hAnsi="Arial" w:cs="Arial"/>
          <w:color w:val="000000"/>
          <w:sz w:val="24"/>
          <w:szCs w:val="24"/>
        </w:rPr>
        <w:t>could be funded</w:t>
      </w:r>
      <w:proofErr w:type="gramEnd"/>
      <w:r w:rsidRPr="00D85612">
        <w:rPr>
          <w:rFonts w:ascii="Arial" w:eastAsia="Times New Roman" w:hAnsi="Arial" w:cs="Arial"/>
          <w:color w:val="000000"/>
          <w:sz w:val="24"/>
          <w:szCs w:val="24"/>
        </w:rPr>
        <w:t xml:space="preserve"> through public and private funds. Yet, this option can fall short especially if not enough States (including key players) join and adhere to the Declaration/Protocol. In terms of practical arrangements, the Declaration/Protocol also suffers from the lack of access regulation and monetary benefit-sharing mechanisms. While the elaboration of multilateral system for access and benefit-sharing of marine genetic resources in ABNJ brings a very effective solution as a means of non-monetary benefit-sharing, it fails short to guarantee voluntary contribution from users making significant profits from the sales of products developed from multilateral system resources. Despite these difficulties, the option of developing a Declaration/Protocol is perhaps one of the most viable options that provide the closest fit with the scientific reality of bioprospecting and the benefits it can yield. </w:t>
      </w:r>
    </w:p>
    <w:p w:rsidR="00D85612" w:rsidRPr="00D85612" w:rsidRDefault="00D85612" w:rsidP="00D85612">
      <w:pPr>
        <w:spacing w:line="360" w:lineRule="atLeast"/>
        <w:jc w:val="both"/>
        <w:rPr>
          <w:rFonts w:ascii="Times New Roman" w:eastAsia="Times New Roman" w:hAnsi="Times New Roman" w:cs="Times New Roman"/>
          <w:color w:val="000000"/>
          <w:sz w:val="24"/>
          <w:szCs w:val="24"/>
        </w:rPr>
      </w:pPr>
      <w:r w:rsidRPr="00D85612">
        <w:rPr>
          <w:rFonts w:ascii="Arial" w:eastAsia="Times New Roman" w:hAnsi="Arial" w:cs="Arial"/>
          <w:color w:val="000000"/>
          <w:sz w:val="24"/>
          <w:szCs w:val="24"/>
        </w:rPr>
        <w:t> </w:t>
      </w:r>
    </w:p>
    <w:p w:rsidR="00D85612" w:rsidRPr="00D85612" w:rsidRDefault="00D85612" w:rsidP="00D85612">
      <w:pPr>
        <w:numPr>
          <w:ilvl w:val="0"/>
          <w:numId w:val="4"/>
        </w:numPr>
        <w:spacing w:after="0" w:line="300" w:lineRule="atLeast"/>
        <w:ind w:left="267" w:firstLine="0"/>
        <w:jc w:val="both"/>
        <w:rPr>
          <w:rFonts w:ascii="Arial" w:eastAsia="Times New Roman" w:hAnsi="Arial" w:cs="Arial"/>
          <w:color w:val="000000"/>
          <w:sz w:val="20"/>
          <w:szCs w:val="20"/>
        </w:rPr>
      </w:pPr>
      <w:r w:rsidRPr="00D85612">
        <w:rPr>
          <w:rFonts w:ascii="Arial" w:eastAsia="Times New Roman" w:hAnsi="Arial" w:cs="Arial"/>
          <w:b/>
          <w:bCs/>
          <w:color w:val="000000"/>
          <w:sz w:val="32"/>
          <w:szCs w:val="32"/>
        </w:rPr>
        <w:t>Recommendations</w:t>
      </w:r>
    </w:p>
    <w:p w:rsidR="00D85612" w:rsidRPr="00D85612" w:rsidRDefault="00D85612" w:rsidP="00D85612">
      <w:pPr>
        <w:spacing w:after="0" w:line="360" w:lineRule="atLeast"/>
        <w:ind w:left="567" w:hanging="283"/>
        <w:jc w:val="both"/>
        <w:rPr>
          <w:rFonts w:ascii="Times New Roman" w:eastAsia="Times New Roman" w:hAnsi="Times New Roman" w:cs="Times New Roman"/>
          <w:color w:val="000000"/>
          <w:sz w:val="24"/>
          <w:szCs w:val="24"/>
        </w:rPr>
      </w:pPr>
      <w:r w:rsidRPr="00D85612">
        <w:rPr>
          <w:rFonts w:ascii="Arial" w:eastAsia="Times New Roman" w:hAnsi="Arial" w:cs="Arial"/>
          <w:color w:val="000000"/>
          <w:sz w:val="20"/>
          <w:szCs w:val="20"/>
        </w:rPr>
        <w:t>4.1.</w:t>
      </w:r>
      <w:r w:rsidRPr="00D85612">
        <w:rPr>
          <w:rFonts w:ascii="Times New Roman" w:eastAsia="Times New Roman" w:hAnsi="Times New Roman" w:cs="Times New Roman"/>
          <w:color w:val="000000"/>
          <w:sz w:val="14"/>
          <w:szCs w:val="14"/>
        </w:rPr>
        <w:t>   </w:t>
      </w:r>
      <w:r w:rsidRPr="00D85612">
        <w:rPr>
          <w:rFonts w:ascii="Arial" w:eastAsia="Times New Roman" w:hAnsi="Arial" w:cs="Arial"/>
          <w:color w:val="000000"/>
          <w:sz w:val="24"/>
          <w:szCs w:val="24"/>
        </w:rPr>
        <w:t xml:space="preserve">The UK should seize the opportunity of the forthcoming negotiations </w:t>
      </w:r>
      <w:proofErr w:type="gramStart"/>
      <w:r w:rsidRPr="00D85612">
        <w:rPr>
          <w:rFonts w:ascii="Arial" w:eastAsia="Times New Roman" w:hAnsi="Arial" w:cs="Arial"/>
          <w:color w:val="000000"/>
          <w:sz w:val="24"/>
          <w:szCs w:val="24"/>
        </w:rPr>
        <w:t>to</w:t>
      </w:r>
      <w:proofErr w:type="gramEnd"/>
      <w:r w:rsidRPr="00D85612">
        <w:rPr>
          <w:rFonts w:ascii="Arial" w:eastAsia="Times New Roman" w:hAnsi="Arial" w:cs="Arial"/>
          <w:color w:val="000000"/>
          <w:sz w:val="24"/>
          <w:szCs w:val="24"/>
        </w:rPr>
        <w:t>:</w:t>
      </w:r>
    </w:p>
    <w:p w:rsidR="00D85612" w:rsidRPr="00D85612" w:rsidRDefault="00D85612" w:rsidP="00D85612">
      <w:pPr>
        <w:spacing w:after="0" w:line="360" w:lineRule="atLeast"/>
        <w:ind w:left="567"/>
        <w:jc w:val="both"/>
        <w:rPr>
          <w:rFonts w:ascii="Times New Roman" w:eastAsia="Times New Roman" w:hAnsi="Times New Roman" w:cs="Times New Roman"/>
          <w:color w:val="000000"/>
          <w:sz w:val="24"/>
          <w:szCs w:val="24"/>
        </w:rPr>
      </w:pPr>
      <w:r w:rsidRPr="00D85612">
        <w:rPr>
          <w:rFonts w:ascii="Arial" w:eastAsia="Times New Roman" w:hAnsi="Arial" w:cs="Arial"/>
          <w:color w:val="000000"/>
          <w:sz w:val="24"/>
          <w:szCs w:val="24"/>
        </w:rPr>
        <w:t> </w:t>
      </w:r>
    </w:p>
    <w:p w:rsidR="00D85612" w:rsidRPr="00D85612" w:rsidRDefault="00D85612" w:rsidP="00D85612">
      <w:pPr>
        <w:spacing w:after="0" w:line="360" w:lineRule="atLeast"/>
        <w:ind w:left="567" w:hanging="283"/>
        <w:jc w:val="both"/>
        <w:rPr>
          <w:rFonts w:ascii="Times New Roman" w:eastAsia="Times New Roman" w:hAnsi="Times New Roman" w:cs="Times New Roman"/>
          <w:color w:val="000000"/>
          <w:sz w:val="24"/>
          <w:szCs w:val="24"/>
        </w:rPr>
      </w:pPr>
      <w:r w:rsidRPr="00D85612">
        <w:rPr>
          <w:rFonts w:ascii="Arial" w:eastAsia="Times New Roman" w:hAnsi="Arial" w:cs="Arial"/>
          <w:color w:val="000000"/>
          <w:sz w:val="20"/>
          <w:szCs w:val="20"/>
        </w:rPr>
        <w:t>4.2.</w:t>
      </w:r>
      <w:r w:rsidRPr="00D85612">
        <w:rPr>
          <w:rFonts w:ascii="Times New Roman" w:eastAsia="Times New Roman" w:hAnsi="Times New Roman" w:cs="Times New Roman"/>
          <w:color w:val="000000"/>
          <w:sz w:val="14"/>
          <w:szCs w:val="14"/>
        </w:rPr>
        <w:t>   </w:t>
      </w:r>
      <w:r w:rsidRPr="00D85612">
        <w:rPr>
          <w:rFonts w:ascii="Arial" w:eastAsia="Times New Roman" w:hAnsi="Arial" w:cs="Arial"/>
          <w:color w:val="000000"/>
          <w:sz w:val="24"/>
          <w:szCs w:val="24"/>
        </w:rPr>
        <w:t xml:space="preserve">Propose that the issue of access and </w:t>
      </w:r>
      <w:proofErr w:type="gramStart"/>
      <w:r w:rsidRPr="00D85612">
        <w:rPr>
          <w:rFonts w:ascii="Arial" w:eastAsia="Times New Roman" w:hAnsi="Arial" w:cs="Arial"/>
          <w:color w:val="000000"/>
          <w:sz w:val="24"/>
          <w:szCs w:val="24"/>
        </w:rPr>
        <w:t>benefit-sharing</w:t>
      </w:r>
      <w:proofErr w:type="gramEnd"/>
      <w:r w:rsidRPr="00D85612">
        <w:rPr>
          <w:rFonts w:ascii="Arial" w:eastAsia="Times New Roman" w:hAnsi="Arial" w:cs="Arial"/>
          <w:color w:val="000000"/>
          <w:sz w:val="24"/>
          <w:szCs w:val="24"/>
        </w:rPr>
        <w:t xml:space="preserve"> of marine genetic resources in ABNJ should be dissociated from the future instrument under UNCLOS.</w:t>
      </w:r>
    </w:p>
    <w:p w:rsidR="00D85612" w:rsidRPr="00D85612" w:rsidRDefault="00D85612" w:rsidP="00D85612">
      <w:pPr>
        <w:spacing w:after="0" w:line="360" w:lineRule="atLeast"/>
        <w:ind w:left="567" w:hanging="283"/>
        <w:jc w:val="both"/>
        <w:rPr>
          <w:rFonts w:ascii="Times New Roman" w:eastAsia="Times New Roman" w:hAnsi="Times New Roman" w:cs="Times New Roman"/>
          <w:color w:val="000000"/>
          <w:sz w:val="24"/>
          <w:szCs w:val="24"/>
        </w:rPr>
      </w:pPr>
      <w:r w:rsidRPr="00D85612">
        <w:rPr>
          <w:rFonts w:ascii="Arial" w:eastAsia="Times New Roman" w:hAnsi="Arial" w:cs="Arial"/>
          <w:color w:val="000000"/>
          <w:sz w:val="24"/>
          <w:szCs w:val="24"/>
        </w:rPr>
        <w:t> </w:t>
      </w:r>
    </w:p>
    <w:p w:rsidR="00D85612" w:rsidRPr="00D85612" w:rsidRDefault="00D85612" w:rsidP="00D85612">
      <w:pPr>
        <w:spacing w:after="0" w:line="360" w:lineRule="atLeast"/>
        <w:ind w:left="567" w:hanging="283"/>
        <w:jc w:val="both"/>
        <w:rPr>
          <w:rFonts w:ascii="Times New Roman" w:eastAsia="Times New Roman" w:hAnsi="Times New Roman" w:cs="Times New Roman"/>
          <w:color w:val="000000"/>
          <w:sz w:val="24"/>
          <w:szCs w:val="24"/>
        </w:rPr>
      </w:pPr>
      <w:r w:rsidRPr="00D85612">
        <w:rPr>
          <w:rFonts w:ascii="Arial" w:eastAsia="Times New Roman" w:hAnsi="Arial" w:cs="Arial"/>
          <w:color w:val="000000"/>
          <w:sz w:val="20"/>
          <w:szCs w:val="20"/>
        </w:rPr>
        <w:t>4.3.</w:t>
      </w:r>
      <w:r w:rsidRPr="00D85612">
        <w:rPr>
          <w:rFonts w:ascii="Times New Roman" w:eastAsia="Times New Roman" w:hAnsi="Times New Roman" w:cs="Times New Roman"/>
          <w:color w:val="000000"/>
          <w:sz w:val="14"/>
          <w:szCs w:val="14"/>
        </w:rPr>
        <w:t>   </w:t>
      </w:r>
      <w:r w:rsidRPr="00D85612">
        <w:rPr>
          <w:rFonts w:ascii="Arial" w:eastAsia="Times New Roman" w:hAnsi="Arial" w:cs="Arial"/>
          <w:color w:val="000000"/>
          <w:sz w:val="24"/>
          <w:szCs w:val="24"/>
        </w:rPr>
        <w:t>Explore a range of alternative options for the elaboration of an access and benefit-sharing regime for marine genetic resources in ABNJ, including through a non-legally binding instrument in the form of a declaration or protocol.</w:t>
      </w:r>
    </w:p>
    <w:p w:rsidR="00D85612" w:rsidRPr="00D85612" w:rsidRDefault="00D85612" w:rsidP="00D85612">
      <w:pPr>
        <w:spacing w:after="0" w:line="360" w:lineRule="atLeast"/>
        <w:ind w:left="567" w:hanging="283"/>
        <w:jc w:val="both"/>
        <w:rPr>
          <w:rFonts w:ascii="Times New Roman" w:eastAsia="Times New Roman" w:hAnsi="Times New Roman" w:cs="Times New Roman"/>
          <w:color w:val="000000"/>
          <w:sz w:val="24"/>
          <w:szCs w:val="24"/>
        </w:rPr>
      </w:pPr>
      <w:r w:rsidRPr="00D85612">
        <w:rPr>
          <w:rFonts w:ascii="Arial" w:eastAsia="Times New Roman" w:hAnsi="Arial" w:cs="Arial"/>
          <w:color w:val="000000"/>
          <w:sz w:val="24"/>
          <w:szCs w:val="24"/>
        </w:rPr>
        <w:t> </w:t>
      </w:r>
    </w:p>
    <w:p w:rsidR="00D85612" w:rsidRPr="00D85612" w:rsidRDefault="00D85612" w:rsidP="00D85612">
      <w:pPr>
        <w:spacing w:after="0" w:line="360" w:lineRule="atLeast"/>
        <w:ind w:left="567" w:hanging="283"/>
        <w:jc w:val="both"/>
        <w:rPr>
          <w:rFonts w:ascii="Times New Roman" w:eastAsia="Times New Roman" w:hAnsi="Times New Roman" w:cs="Times New Roman"/>
          <w:color w:val="000000"/>
          <w:sz w:val="24"/>
          <w:szCs w:val="24"/>
        </w:rPr>
      </w:pPr>
      <w:r w:rsidRPr="00D85612">
        <w:rPr>
          <w:rFonts w:ascii="Arial" w:eastAsia="Times New Roman" w:hAnsi="Arial" w:cs="Arial"/>
          <w:color w:val="000000"/>
          <w:sz w:val="20"/>
          <w:szCs w:val="20"/>
        </w:rPr>
        <w:t>4.4.</w:t>
      </w:r>
      <w:r w:rsidRPr="00D85612">
        <w:rPr>
          <w:rFonts w:ascii="Times New Roman" w:eastAsia="Times New Roman" w:hAnsi="Times New Roman" w:cs="Times New Roman"/>
          <w:color w:val="000000"/>
          <w:sz w:val="14"/>
          <w:szCs w:val="14"/>
        </w:rPr>
        <w:t>   </w:t>
      </w:r>
      <w:r w:rsidRPr="00D85612">
        <w:rPr>
          <w:rFonts w:ascii="Arial" w:eastAsia="Times New Roman" w:hAnsi="Arial" w:cs="Arial"/>
          <w:color w:val="000000"/>
          <w:sz w:val="24"/>
          <w:szCs w:val="24"/>
        </w:rPr>
        <w:t>Oppose any proposition aiming to expand the mandate of ISA on marine genetic resources of ABNJ</w:t>
      </w:r>
    </w:p>
    <w:p w:rsidR="00D85612" w:rsidRPr="00D85612" w:rsidRDefault="00D85612" w:rsidP="00D85612">
      <w:pPr>
        <w:spacing w:line="259" w:lineRule="atLeast"/>
        <w:ind w:left="720"/>
        <w:jc w:val="both"/>
        <w:rPr>
          <w:rFonts w:ascii="Times New Roman" w:eastAsia="Times New Roman" w:hAnsi="Times New Roman" w:cs="Times New Roman"/>
          <w:color w:val="000000"/>
          <w:sz w:val="24"/>
          <w:szCs w:val="24"/>
        </w:rPr>
      </w:pPr>
      <w:r w:rsidRPr="00D85612">
        <w:rPr>
          <w:rFonts w:ascii="Arial" w:eastAsia="Times New Roman" w:hAnsi="Arial" w:cs="Arial"/>
          <w:color w:val="000000"/>
          <w:sz w:val="24"/>
          <w:szCs w:val="24"/>
        </w:rPr>
        <w:t> </w:t>
      </w:r>
    </w:p>
    <w:p w:rsidR="00D85612" w:rsidRPr="00D85612" w:rsidRDefault="00D85612" w:rsidP="00D85612">
      <w:pPr>
        <w:spacing w:line="360" w:lineRule="atLeast"/>
        <w:jc w:val="both"/>
        <w:rPr>
          <w:rFonts w:ascii="Times New Roman" w:eastAsia="Times New Roman" w:hAnsi="Times New Roman" w:cs="Times New Roman"/>
          <w:color w:val="000000"/>
          <w:sz w:val="24"/>
          <w:szCs w:val="24"/>
        </w:rPr>
      </w:pPr>
      <w:r w:rsidRPr="00D85612">
        <w:rPr>
          <w:rFonts w:ascii="Arial" w:eastAsia="Times New Roman" w:hAnsi="Arial" w:cs="Arial"/>
          <w:i/>
          <w:iCs/>
          <w:color w:val="000000"/>
          <w:sz w:val="24"/>
          <w:szCs w:val="24"/>
        </w:rPr>
        <w:t>May 2018</w:t>
      </w:r>
    </w:p>
    <w:p w:rsidR="00D85612" w:rsidRPr="00D85612" w:rsidRDefault="00D85612" w:rsidP="00D85612">
      <w:pPr>
        <w:spacing w:after="0" w:line="240" w:lineRule="auto"/>
        <w:jc w:val="both"/>
        <w:rPr>
          <w:rFonts w:ascii="Times New Roman" w:eastAsia="Times New Roman" w:hAnsi="Times New Roman" w:cs="Times New Roman"/>
          <w:color w:val="000000"/>
          <w:sz w:val="27"/>
          <w:szCs w:val="27"/>
        </w:rPr>
      </w:pPr>
      <w:r w:rsidRPr="00D85612">
        <w:rPr>
          <w:rFonts w:ascii="Arial" w:eastAsia="Times New Roman" w:hAnsi="Arial" w:cs="Arial"/>
          <w:color w:val="000000"/>
          <w:sz w:val="20"/>
          <w:szCs w:val="20"/>
        </w:rPr>
        <w:t>1</w:t>
      </w:r>
    </w:p>
    <w:p w:rsidR="00D85612" w:rsidRPr="00D85612" w:rsidRDefault="00D85612" w:rsidP="00D85612">
      <w:pPr>
        <w:spacing w:after="0" w:line="240" w:lineRule="auto"/>
        <w:jc w:val="both"/>
        <w:rPr>
          <w:rFonts w:ascii="Times New Roman" w:eastAsia="Times New Roman" w:hAnsi="Times New Roman" w:cs="Times New Roman"/>
          <w:color w:val="000000"/>
          <w:sz w:val="27"/>
          <w:szCs w:val="27"/>
        </w:rPr>
      </w:pPr>
      <w:r w:rsidRPr="00D85612">
        <w:rPr>
          <w:rFonts w:ascii="Calibri" w:eastAsia="Times New Roman" w:hAnsi="Calibri" w:cs="Times New Roman"/>
          <w:color w:val="000000"/>
        </w:rPr>
        <w:t> </w:t>
      </w:r>
    </w:p>
    <w:p w:rsidR="00D85612" w:rsidRPr="00D85612" w:rsidRDefault="00D85612" w:rsidP="00D85612">
      <w:pPr>
        <w:spacing w:after="0" w:line="240" w:lineRule="auto"/>
        <w:jc w:val="both"/>
        <w:rPr>
          <w:rFonts w:ascii="Times New Roman" w:eastAsia="Times New Roman" w:hAnsi="Times New Roman" w:cs="Times New Roman"/>
          <w:sz w:val="24"/>
          <w:szCs w:val="24"/>
        </w:rPr>
      </w:pPr>
      <w:r w:rsidRPr="00D85612">
        <w:rPr>
          <w:rFonts w:ascii="Times New Roman" w:eastAsia="Times New Roman" w:hAnsi="Times New Roman" w:cs="Times New Roman"/>
          <w:sz w:val="24"/>
          <w:szCs w:val="24"/>
        </w:rPr>
        <w:pict>
          <v:rect id="_x0000_i1025" style="width:467.25pt;height:.75pt" o:hrpct="0" o:hrstd="t" o:hrnoshade="t" o:hr="t" fillcolor="black" stroked="f"/>
        </w:pict>
      </w:r>
    </w:p>
    <w:bookmarkStart w:id="24" w:name="_ftn1"/>
    <w:bookmarkEnd w:id="24"/>
    <w:p w:rsidR="00D85612" w:rsidRPr="00D85612" w:rsidRDefault="00D85612" w:rsidP="00D85612">
      <w:pPr>
        <w:spacing w:after="0" w:line="240" w:lineRule="auto"/>
        <w:jc w:val="both"/>
        <w:rPr>
          <w:rFonts w:ascii="Times New Roman" w:eastAsia="Times New Roman" w:hAnsi="Times New Roman" w:cs="Times New Roman"/>
          <w:color w:val="000000"/>
          <w:sz w:val="27"/>
          <w:szCs w:val="27"/>
        </w:rPr>
      </w:pPr>
      <w:r w:rsidRPr="00D85612">
        <w:rPr>
          <w:rFonts w:ascii="Times New Roman" w:eastAsia="Times New Roman" w:hAnsi="Times New Roman" w:cs="Times New Roman"/>
          <w:color w:val="000000"/>
          <w:sz w:val="27"/>
          <w:szCs w:val="27"/>
        </w:rPr>
        <w:fldChar w:fldCharType="begin"/>
      </w:r>
      <w:r w:rsidRPr="00D85612">
        <w:rPr>
          <w:rFonts w:ascii="Times New Roman" w:eastAsia="Times New Roman" w:hAnsi="Times New Roman" w:cs="Times New Roman"/>
          <w:color w:val="000000"/>
          <w:sz w:val="27"/>
          <w:szCs w:val="27"/>
        </w:rPr>
        <w:instrText xml:space="preserve"> HYPERLINK "http://data.parliament.uk/writtenevidence/committeeevidence.svc/evidencedocument/environmental-audit-committee/sustainable-seas/written/83074.html" \l "_ftnref1" </w:instrText>
      </w:r>
      <w:r w:rsidRPr="00D85612">
        <w:rPr>
          <w:rFonts w:ascii="Times New Roman" w:eastAsia="Times New Roman" w:hAnsi="Times New Roman" w:cs="Times New Roman"/>
          <w:color w:val="000000"/>
          <w:sz w:val="27"/>
          <w:szCs w:val="27"/>
        </w:rPr>
        <w:fldChar w:fldCharType="separate"/>
      </w:r>
      <w:r w:rsidRPr="00D85612">
        <w:rPr>
          <w:rFonts w:ascii="Times New Roman" w:eastAsia="Times New Roman" w:hAnsi="Times New Roman" w:cs="Times New Roman"/>
          <w:color w:val="0000FF"/>
          <w:sz w:val="27"/>
          <w:szCs w:val="27"/>
          <w:u w:val="single"/>
        </w:rPr>
        <w:t>[1]</w:t>
      </w:r>
      <w:r w:rsidRPr="00D85612">
        <w:rPr>
          <w:rFonts w:ascii="Times New Roman" w:eastAsia="Times New Roman" w:hAnsi="Times New Roman" w:cs="Times New Roman"/>
          <w:color w:val="000000"/>
          <w:sz w:val="27"/>
          <w:szCs w:val="27"/>
        </w:rPr>
        <w:fldChar w:fldCharType="end"/>
      </w:r>
      <w:r w:rsidRPr="00D85612">
        <w:rPr>
          <w:rFonts w:ascii="Calibri Light" w:eastAsia="Times New Roman" w:hAnsi="Calibri Light" w:cs="Times New Roman"/>
          <w:color w:val="000000"/>
          <w:sz w:val="16"/>
          <w:szCs w:val="16"/>
        </w:rPr>
        <w:t xml:space="preserve"> For further scenarios see E. </w:t>
      </w:r>
      <w:proofErr w:type="spellStart"/>
      <w:r w:rsidRPr="00D85612">
        <w:rPr>
          <w:rFonts w:ascii="Calibri Light" w:eastAsia="Times New Roman" w:hAnsi="Calibri Light" w:cs="Times New Roman"/>
          <w:color w:val="000000"/>
          <w:sz w:val="16"/>
          <w:szCs w:val="16"/>
        </w:rPr>
        <w:t>Druel</w:t>
      </w:r>
      <w:proofErr w:type="spellEnd"/>
      <w:r w:rsidRPr="00D85612">
        <w:rPr>
          <w:rFonts w:ascii="Calibri Light" w:eastAsia="Times New Roman" w:hAnsi="Calibri Light" w:cs="Times New Roman"/>
          <w:color w:val="000000"/>
          <w:sz w:val="16"/>
          <w:szCs w:val="16"/>
        </w:rPr>
        <w:t xml:space="preserve">, K. </w:t>
      </w:r>
      <w:proofErr w:type="spellStart"/>
      <w:r w:rsidRPr="00D85612">
        <w:rPr>
          <w:rFonts w:ascii="Calibri Light" w:eastAsia="Times New Roman" w:hAnsi="Calibri Light" w:cs="Times New Roman"/>
          <w:color w:val="000000"/>
          <w:sz w:val="16"/>
          <w:szCs w:val="16"/>
        </w:rPr>
        <w:t>Gjerde</w:t>
      </w:r>
      <w:proofErr w:type="spellEnd"/>
      <w:r w:rsidRPr="00D85612">
        <w:rPr>
          <w:rFonts w:ascii="Calibri Light" w:eastAsia="Times New Roman" w:hAnsi="Calibri Light" w:cs="Times New Roman"/>
          <w:color w:val="000000"/>
          <w:sz w:val="16"/>
          <w:szCs w:val="16"/>
        </w:rPr>
        <w:t>, ‘Sustaining marine life beyond boundaries: Options for an implementing agreement for marine biodiversity beyond national jurisdiction under the United Nations Convention for the Law of the Sea’ (2014) 49 </w:t>
      </w:r>
      <w:r w:rsidRPr="00D85612">
        <w:rPr>
          <w:rFonts w:ascii="Calibri Light" w:eastAsia="Times New Roman" w:hAnsi="Calibri Light" w:cs="Times New Roman"/>
          <w:i/>
          <w:iCs/>
          <w:color w:val="000000"/>
          <w:sz w:val="16"/>
          <w:szCs w:val="16"/>
        </w:rPr>
        <w:t>Marine Policy</w:t>
      </w:r>
      <w:r w:rsidRPr="00D85612">
        <w:rPr>
          <w:rFonts w:ascii="Calibri Light" w:eastAsia="Times New Roman" w:hAnsi="Calibri Light" w:cs="Times New Roman"/>
          <w:color w:val="000000"/>
          <w:sz w:val="16"/>
          <w:szCs w:val="16"/>
        </w:rPr>
        <w:t xml:space="preserve"> 90-97 </w:t>
      </w:r>
      <w:r w:rsidRPr="00D85612">
        <w:rPr>
          <w:rFonts w:ascii="Calibri Light" w:eastAsia="Times New Roman" w:hAnsi="Calibri Light" w:cs="Times New Roman"/>
          <w:color w:val="000000"/>
          <w:sz w:val="16"/>
          <w:szCs w:val="16"/>
        </w:rPr>
        <w:lastRenderedPageBreak/>
        <w:t xml:space="preserve">at 93. See also M. W. </w:t>
      </w:r>
      <w:proofErr w:type="spellStart"/>
      <w:r w:rsidRPr="00D85612">
        <w:rPr>
          <w:rFonts w:ascii="Calibri Light" w:eastAsia="Times New Roman" w:hAnsi="Calibri Light" w:cs="Times New Roman"/>
          <w:color w:val="000000"/>
          <w:sz w:val="16"/>
          <w:szCs w:val="16"/>
        </w:rPr>
        <w:t>Tvedt</w:t>
      </w:r>
      <w:proofErr w:type="spellEnd"/>
      <w:r w:rsidRPr="00D85612">
        <w:rPr>
          <w:rFonts w:ascii="Calibri Light" w:eastAsia="Times New Roman" w:hAnsi="Calibri Light" w:cs="Times New Roman"/>
          <w:color w:val="000000"/>
          <w:sz w:val="16"/>
          <w:szCs w:val="16"/>
        </w:rPr>
        <w:t xml:space="preserve">, A.E. </w:t>
      </w:r>
      <w:proofErr w:type="spellStart"/>
      <w:r w:rsidRPr="00D85612">
        <w:rPr>
          <w:rFonts w:ascii="Calibri Light" w:eastAsia="Times New Roman" w:hAnsi="Calibri Light" w:cs="Times New Roman"/>
          <w:color w:val="000000"/>
          <w:sz w:val="16"/>
          <w:szCs w:val="16"/>
        </w:rPr>
        <w:t>Jorem</w:t>
      </w:r>
      <w:proofErr w:type="spellEnd"/>
      <w:r w:rsidRPr="00D85612">
        <w:rPr>
          <w:rFonts w:ascii="Calibri Light" w:eastAsia="Times New Roman" w:hAnsi="Calibri Light" w:cs="Times New Roman"/>
          <w:color w:val="000000"/>
          <w:sz w:val="16"/>
          <w:szCs w:val="16"/>
        </w:rPr>
        <w:t>, ‘Bioprospecting in the High Seas: Regulatory Options for Benefit Sharing’ (2013) 16 </w:t>
      </w:r>
      <w:r w:rsidRPr="00D85612">
        <w:rPr>
          <w:rFonts w:ascii="Calibri Light" w:eastAsia="Times New Roman" w:hAnsi="Calibri Light" w:cs="Times New Roman"/>
          <w:i/>
          <w:iCs/>
          <w:color w:val="000000"/>
          <w:sz w:val="16"/>
          <w:szCs w:val="16"/>
        </w:rPr>
        <w:t>The Journal of World Intellectual Property</w:t>
      </w:r>
      <w:r w:rsidRPr="00D85612">
        <w:rPr>
          <w:rFonts w:ascii="Calibri Light" w:eastAsia="Times New Roman" w:hAnsi="Calibri Light" w:cs="Times New Roman"/>
          <w:color w:val="000000"/>
          <w:sz w:val="16"/>
          <w:szCs w:val="16"/>
        </w:rPr>
        <w:t>3-4, pp. 158-161</w:t>
      </w:r>
    </w:p>
    <w:bookmarkStart w:id="25" w:name="_ftn2"/>
    <w:bookmarkEnd w:id="25"/>
    <w:p w:rsidR="00D85612" w:rsidRPr="00D85612" w:rsidRDefault="00D85612" w:rsidP="00D85612">
      <w:pPr>
        <w:spacing w:after="0" w:line="240" w:lineRule="auto"/>
        <w:jc w:val="both"/>
        <w:rPr>
          <w:rFonts w:ascii="Times New Roman" w:eastAsia="Times New Roman" w:hAnsi="Times New Roman" w:cs="Times New Roman"/>
          <w:color w:val="000000"/>
          <w:sz w:val="27"/>
          <w:szCs w:val="27"/>
        </w:rPr>
      </w:pPr>
      <w:r w:rsidRPr="00D85612">
        <w:rPr>
          <w:rFonts w:ascii="Times New Roman" w:eastAsia="Times New Roman" w:hAnsi="Times New Roman" w:cs="Times New Roman"/>
          <w:color w:val="000000"/>
          <w:sz w:val="27"/>
          <w:szCs w:val="27"/>
        </w:rPr>
        <w:fldChar w:fldCharType="begin"/>
      </w:r>
      <w:r w:rsidRPr="00D85612">
        <w:rPr>
          <w:rFonts w:ascii="Times New Roman" w:eastAsia="Times New Roman" w:hAnsi="Times New Roman" w:cs="Times New Roman"/>
          <w:color w:val="000000"/>
          <w:sz w:val="27"/>
          <w:szCs w:val="27"/>
        </w:rPr>
        <w:instrText xml:space="preserve"> HYPERLINK "http://data.parliament.uk/writtenevidence/committeeevidence.svc/evidencedocument/environmental-audit-committee/sustainable-seas/written/83074.html" \l "_ftnref2" </w:instrText>
      </w:r>
      <w:r w:rsidRPr="00D85612">
        <w:rPr>
          <w:rFonts w:ascii="Times New Roman" w:eastAsia="Times New Roman" w:hAnsi="Times New Roman" w:cs="Times New Roman"/>
          <w:color w:val="000000"/>
          <w:sz w:val="27"/>
          <w:szCs w:val="27"/>
        </w:rPr>
        <w:fldChar w:fldCharType="separate"/>
      </w:r>
      <w:r w:rsidRPr="00D85612">
        <w:rPr>
          <w:rFonts w:ascii="Times New Roman" w:eastAsia="Times New Roman" w:hAnsi="Times New Roman" w:cs="Times New Roman"/>
          <w:color w:val="0000FF"/>
          <w:sz w:val="27"/>
          <w:szCs w:val="27"/>
          <w:u w:val="single"/>
        </w:rPr>
        <w:t>[2]</w:t>
      </w:r>
      <w:r w:rsidRPr="00D85612">
        <w:rPr>
          <w:rFonts w:ascii="Times New Roman" w:eastAsia="Times New Roman" w:hAnsi="Times New Roman" w:cs="Times New Roman"/>
          <w:color w:val="000000"/>
          <w:sz w:val="27"/>
          <w:szCs w:val="27"/>
        </w:rPr>
        <w:fldChar w:fldCharType="end"/>
      </w:r>
      <w:r w:rsidRPr="00D85612">
        <w:rPr>
          <w:rFonts w:ascii="Calibri Light" w:eastAsia="Times New Roman" w:hAnsi="Calibri Light" w:cs="Times New Roman"/>
          <w:color w:val="000000"/>
          <w:sz w:val="16"/>
          <w:szCs w:val="16"/>
        </w:rPr>
        <w:t> Article 157(1) LOSC.</w:t>
      </w:r>
    </w:p>
    <w:bookmarkStart w:id="26" w:name="_ftn3"/>
    <w:bookmarkEnd w:id="26"/>
    <w:p w:rsidR="00D85612" w:rsidRPr="00D85612" w:rsidRDefault="00D85612" w:rsidP="00D85612">
      <w:pPr>
        <w:spacing w:after="0" w:line="240" w:lineRule="auto"/>
        <w:jc w:val="both"/>
        <w:rPr>
          <w:rFonts w:ascii="Times New Roman" w:eastAsia="Times New Roman" w:hAnsi="Times New Roman" w:cs="Times New Roman"/>
          <w:color w:val="000000"/>
          <w:sz w:val="27"/>
          <w:szCs w:val="27"/>
        </w:rPr>
      </w:pPr>
      <w:r w:rsidRPr="00D85612">
        <w:rPr>
          <w:rFonts w:ascii="Times New Roman" w:eastAsia="Times New Roman" w:hAnsi="Times New Roman" w:cs="Times New Roman"/>
          <w:color w:val="000000"/>
          <w:sz w:val="27"/>
          <w:szCs w:val="27"/>
        </w:rPr>
        <w:fldChar w:fldCharType="begin"/>
      </w:r>
      <w:r w:rsidRPr="00D85612">
        <w:rPr>
          <w:rFonts w:ascii="Times New Roman" w:eastAsia="Times New Roman" w:hAnsi="Times New Roman" w:cs="Times New Roman"/>
          <w:color w:val="000000"/>
          <w:sz w:val="27"/>
          <w:szCs w:val="27"/>
        </w:rPr>
        <w:instrText xml:space="preserve"> HYPERLINK "http://data.parliament.uk/writtenevidence/committeeevidence.svc/evidencedocument/environmental-audit-committee/sustainable-seas/written/83074.html" \l "_ftnref3" </w:instrText>
      </w:r>
      <w:r w:rsidRPr="00D85612">
        <w:rPr>
          <w:rFonts w:ascii="Times New Roman" w:eastAsia="Times New Roman" w:hAnsi="Times New Roman" w:cs="Times New Roman"/>
          <w:color w:val="000000"/>
          <w:sz w:val="27"/>
          <w:szCs w:val="27"/>
        </w:rPr>
        <w:fldChar w:fldCharType="separate"/>
      </w:r>
      <w:r w:rsidRPr="00D85612">
        <w:rPr>
          <w:rFonts w:ascii="Times New Roman" w:eastAsia="Times New Roman" w:hAnsi="Times New Roman" w:cs="Times New Roman"/>
          <w:color w:val="0000FF"/>
          <w:sz w:val="27"/>
          <w:szCs w:val="27"/>
          <w:u w:val="single"/>
        </w:rPr>
        <w:t>[3]</w:t>
      </w:r>
      <w:r w:rsidRPr="00D85612">
        <w:rPr>
          <w:rFonts w:ascii="Times New Roman" w:eastAsia="Times New Roman" w:hAnsi="Times New Roman" w:cs="Times New Roman"/>
          <w:color w:val="000000"/>
          <w:sz w:val="27"/>
          <w:szCs w:val="27"/>
        </w:rPr>
        <w:fldChar w:fldCharType="end"/>
      </w:r>
      <w:r w:rsidRPr="00D85612">
        <w:rPr>
          <w:rFonts w:ascii="Calibri Light" w:eastAsia="Times New Roman" w:hAnsi="Calibri Light" w:cs="Times New Roman"/>
          <w:color w:val="000000"/>
          <w:sz w:val="16"/>
          <w:szCs w:val="16"/>
        </w:rPr>
        <w:t xml:space="preserve"> M. W. </w:t>
      </w:r>
      <w:proofErr w:type="spellStart"/>
      <w:r w:rsidRPr="00D85612">
        <w:rPr>
          <w:rFonts w:ascii="Calibri Light" w:eastAsia="Times New Roman" w:hAnsi="Calibri Light" w:cs="Times New Roman"/>
          <w:color w:val="000000"/>
          <w:sz w:val="16"/>
          <w:szCs w:val="16"/>
        </w:rPr>
        <w:t>Tvedt</w:t>
      </w:r>
      <w:proofErr w:type="spellEnd"/>
      <w:r w:rsidRPr="00D85612">
        <w:rPr>
          <w:rFonts w:ascii="Calibri Light" w:eastAsia="Times New Roman" w:hAnsi="Calibri Light" w:cs="Times New Roman"/>
          <w:color w:val="000000"/>
          <w:sz w:val="16"/>
          <w:szCs w:val="16"/>
        </w:rPr>
        <w:t xml:space="preserve">, A.E. </w:t>
      </w:r>
      <w:proofErr w:type="spellStart"/>
      <w:r w:rsidRPr="00D85612">
        <w:rPr>
          <w:rFonts w:ascii="Calibri Light" w:eastAsia="Times New Roman" w:hAnsi="Calibri Light" w:cs="Times New Roman"/>
          <w:color w:val="000000"/>
          <w:sz w:val="16"/>
          <w:szCs w:val="16"/>
        </w:rPr>
        <w:t>Jorem</w:t>
      </w:r>
      <w:proofErr w:type="spellEnd"/>
      <w:r w:rsidRPr="00D85612">
        <w:rPr>
          <w:rFonts w:ascii="Calibri Light" w:eastAsia="Times New Roman" w:hAnsi="Calibri Light" w:cs="Times New Roman"/>
          <w:color w:val="000000"/>
          <w:sz w:val="16"/>
          <w:szCs w:val="16"/>
        </w:rPr>
        <w:t>, </w:t>
      </w:r>
      <w:proofErr w:type="spellStart"/>
      <w:proofErr w:type="gramStart"/>
      <w:r w:rsidRPr="00D85612">
        <w:rPr>
          <w:rFonts w:ascii="Calibri Light" w:eastAsia="Times New Roman" w:hAnsi="Calibri Light" w:cs="Times New Roman"/>
          <w:i/>
          <w:iCs/>
          <w:color w:val="000000"/>
          <w:sz w:val="16"/>
          <w:szCs w:val="16"/>
        </w:rPr>
        <w:t>op.cit</w:t>
      </w:r>
      <w:proofErr w:type="spellEnd"/>
      <w:r w:rsidRPr="00D85612">
        <w:rPr>
          <w:rFonts w:ascii="Calibri Light" w:eastAsia="Times New Roman" w:hAnsi="Calibri Light" w:cs="Times New Roman"/>
          <w:color w:val="000000"/>
          <w:sz w:val="16"/>
          <w:szCs w:val="16"/>
        </w:rPr>
        <w:t>.,</w:t>
      </w:r>
      <w:proofErr w:type="gramEnd"/>
      <w:r w:rsidRPr="00D85612">
        <w:rPr>
          <w:rFonts w:ascii="Calibri Light" w:eastAsia="Times New Roman" w:hAnsi="Calibri Light" w:cs="Times New Roman"/>
          <w:color w:val="000000"/>
          <w:sz w:val="16"/>
          <w:szCs w:val="16"/>
        </w:rPr>
        <w:t xml:space="preserve"> p. 161. See also A. </w:t>
      </w:r>
      <w:proofErr w:type="spellStart"/>
      <w:r w:rsidRPr="00D85612">
        <w:rPr>
          <w:rFonts w:ascii="Calibri Light" w:eastAsia="Times New Roman" w:hAnsi="Calibri Light" w:cs="Times New Roman"/>
          <w:color w:val="000000"/>
          <w:sz w:val="16"/>
          <w:szCs w:val="16"/>
        </w:rPr>
        <w:t>Bonfanti</w:t>
      </w:r>
      <w:proofErr w:type="spellEnd"/>
      <w:r w:rsidRPr="00D85612">
        <w:rPr>
          <w:rFonts w:ascii="Calibri Light" w:eastAsia="Times New Roman" w:hAnsi="Calibri Light" w:cs="Times New Roman"/>
          <w:color w:val="000000"/>
          <w:sz w:val="16"/>
          <w:szCs w:val="16"/>
        </w:rPr>
        <w:t xml:space="preserve"> and S. </w:t>
      </w:r>
      <w:proofErr w:type="spellStart"/>
      <w:r w:rsidRPr="00D85612">
        <w:rPr>
          <w:rFonts w:ascii="Calibri Light" w:eastAsia="Times New Roman" w:hAnsi="Calibri Light" w:cs="Times New Roman"/>
          <w:color w:val="000000"/>
          <w:sz w:val="16"/>
          <w:szCs w:val="16"/>
        </w:rPr>
        <w:t>Trevisanut</w:t>
      </w:r>
      <w:proofErr w:type="spellEnd"/>
      <w:r w:rsidRPr="00D85612">
        <w:rPr>
          <w:rFonts w:ascii="Calibri Light" w:eastAsia="Times New Roman" w:hAnsi="Calibri Light" w:cs="Times New Roman"/>
          <w:color w:val="000000"/>
          <w:sz w:val="16"/>
          <w:szCs w:val="16"/>
        </w:rPr>
        <w:t>, </w:t>
      </w:r>
      <w:r w:rsidRPr="00D85612">
        <w:rPr>
          <w:rFonts w:ascii="Calibri Light" w:eastAsia="Times New Roman" w:hAnsi="Calibri Light" w:cs="Times New Roman"/>
          <w:i/>
          <w:iCs/>
          <w:color w:val="000000"/>
          <w:sz w:val="16"/>
          <w:szCs w:val="16"/>
        </w:rPr>
        <w:t>Supra</w:t>
      </w:r>
      <w:r w:rsidRPr="00D85612">
        <w:rPr>
          <w:rFonts w:ascii="Calibri Light" w:eastAsia="Times New Roman" w:hAnsi="Calibri Light" w:cs="Times New Roman"/>
          <w:color w:val="000000"/>
          <w:sz w:val="16"/>
          <w:szCs w:val="16"/>
        </w:rPr>
        <w:t> note 81, p. 228; O. Yambo, ‘A critical analysis of the International Seabed Authority recent move to declare the establishment of marine protected areas on the high seas’ (Master Dissertation, University of Nottingham, 2013), p. 41.</w:t>
      </w:r>
    </w:p>
    <w:bookmarkStart w:id="27" w:name="_ftn4"/>
    <w:bookmarkEnd w:id="27"/>
    <w:p w:rsidR="00D85612" w:rsidRPr="00D85612" w:rsidRDefault="00D85612" w:rsidP="00D85612">
      <w:pPr>
        <w:spacing w:after="0" w:line="240" w:lineRule="auto"/>
        <w:jc w:val="both"/>
        <w:rPr>
          <w:rFonts w:ascii="Times New Roman" w:eastAsia="Times New Roman" w:hAnsi="Times New Roman" w:cs="Times New Roman"/>
          <w:color w:val="000000"/>
          <w:sz w:val="27"/>
          <w:szCs w:val="27"/>
        </w:rPr>
      </w:pPr>
      <w:r w:rsidRPr="00D85612">
        <w:rPr>
          <w:rFonts w:ascii="Times New Roman" w:eastAsia="Times New Roman" w:hAnsi="Times New Roman" w:cs="Times New Roman"/>
          <w:color w:val="000000"/>
          <w:sz w:val="27"/>
          <w:szCs w:val="27"/>
        </w:rPr>
        <w:fldChar w:fldCharType="begin"/>
      </w:r>
      <w:r w:rsidRPr="00D85612">
        <w:rPr>
          <w:rFonts w:ascii="Times New Roman" w:eastAsia="Times New Roman" w:hAnsi="Times New Roman" w:cs="Times New Roman"/>
          <w:color w:val="000000"/>
          <w:sz w:val="27"/>
          <w:szCs w:val="27"/>
        </w:rPr>
        <w:instrText xml:space="preserve"> HYPERLINK "http://data.parliament.uk/writtenevidence/committeeevidence.svc/evidencedocument/environmental-audit-committee/sustainable-seas/written/83074.html" \l "_ftnref4" </w:instrText>
      </w:r>
      <w:r w:rsidRPr="00D85612">
        <w:rPr>
          <w:rFonts w:ascii="Times New Roman" w:eastAsia="Times New Roman" w:hAnsi="Times New Roman" w:cs="Times New Roman"/>
          <w:color w:val="000000"/>
          <w:sz w:val="27"/>
          <w:szCs w:val="27"/>
        </w:rPr>
        <w:fldChar w:fldCharType="separate"/>
      </w:r>
      <w:r w:rsidRPr="00D85612">
        <w:rPr>
          <w:rFonts w:ascii="Times New Roman" w:eastAsia="Times New Roman" w:hAnsi="Times New Roman" w:cs="Times New Roman"/>
          <w:color w:val="0000FF"/>
          <w:sz w:val="27"/>
          <w:szCs w:val="27"/>
          <w:u w:val="single"/>
        </w:rPr>
        <w:t>[4]</w:t>
      </w:r>
      <w:r w:rsidRPr="00D85612">
        <w:rPr>
          <w:rFonts w:ascii="Times New Roman" w:eastAsia="Times New Roman" w:hAnsi="Times New Roman" w:cs="Times New Roman"/>
          <w:color w:val="000000"/>
          <w:sz w:val="27"/>
          <w:szCs w:val="27"/>
        </w:rPr>
        <w:fldChar w:fldCharType="end"/>
      </w:r>
      <w:r w:rsidRPr="00D85612">
        <w:rPr>
          <w:rFonts w:ascii="Calibri Light" w:eastAsia="Times New Roman" w:hAnsi="Calibri Light" w:cs="Times New Roman"/>
          <w:color w:val="000000"/>
          <w:sz w:val="16"/>
          <w:szCs w:val="16"/>
        </w:rPr>
        <w:t> D. Leary, International Law and the Genetic Resources of the Deep Sea (</w:t>
      </w:r>
      <w:proofErr w:type="spellStart"/>
      <w:r w:rsidRPr="00D85612">
        <w:rPr>
          <w:rFonts w:ascii="Calibri Light" w:eastAsia="Times New Roman" w:hAnsi="Calibri Light" w:cs="Times New Roman"/>
          <w:color w:val="000000"/>
          <w:sz w:val="16"/>
          <w:szCs w:val="16"/>
        </w:rPr>
        <w:t>Martinus</w:t>
      </w:r>
      <w:proofErr w:type="spellEnd"/>
      <w:r w:rsidRPr="00D85612">
        <w:rPr>
          <w:rFonts w:ascii="Calibri Light" w:eastAsia="Times New Roman" w:hAnsi="Calibri Light" w:cs="Times New Roman"/>
          <w:color w:val="000000"/>
          <w:sz w:val="16"/>
          <w:szCs w:val="16"/>
        </w:rPr>
        <w:t xml:space="preserve"> </w:t>
      </w:r>
      <w:proofErr w:type="spellStart"/>
      <w:r w:rsidRPr="00D85612">
        <w:rPr>
          <w:rFonts w:ascii="Calibri Light" w:eastAsia="Times New Roman" w:hAnsi="Calibri Light" w:cs="Times New Roman"/>
          <w:color w:val="000000"/>
          <w:sz w:val="16"/>
          <w:szCs w:val="16"/>
        </w:rPr>
        <w:t>Nijhoff</w:t>
      </w:r>
      <w:proofErr w:type="spellEnd"/>
      <w:r w:rsidRPr="00D85612">
        <w:rPr>
          <w:rFonts w:ascii="Calibri Light" w:eastAsia="Times New Roman" w:hAnsi="Calibri Light" w:cs="Times New Roman"/>
          <w:color w:val="000000"/>
          <w:sz w:val="16"/>
          <w:szCs w:val="16"/>
        </w:rPr>
        <w:t>, Leiden, 2007) p. 224.</w:t>
      </w:r>
    </w:p>
    <w:bookmarkStart w:id="28" w:name="_ftn5"/>
    <w:bookmarkEnd w:id="28"/>
    <w:p w:rsidR="00D85612" w:rsidRPr="00D85612" w:rsidRDefault="00D85612" w:rsidP="00D85612">
      <w:pPr>
        <w:spacing w:after="0" w:line="240" w:lineRule="auto"/>
        <w:jc w:val="both"/>
        <w:rPr>
          <w:rFonts w:ascii="Times New Roman" w:eastAsia="Times New Roman" w:hAnsi="Times New Roman" w:cs="Times New Roman"/>
          <w:color w:val="000000"/>
          <w:sz w:val="27"/>
          <w:szCs w:val="27"/>
        </w:rPr>
      </w:pPr>
      <w:r w:rsidRPr="00D85612">
        <w:rPr>
          <w:rFonts w:ascii="Times New Roman" w:eastAsia="Times New Roman" w:hAnsi="Times New Roman" w:cs="Times New Roman"/>
          <w:color w:val="000000"/>
          <w:sz w:val="27"/>
          <w:szCs w:val="27"/>
        </w:rPr>
        <w:fldChar w:fldCharType="begin"/>
      </w:r>
      <w:r w:rsidRPr="00D85612">
        <w:rPr>
          <w:rFonts w:ascii="Times New Roman" w:eastAsia="Times New Roman" w:hAnsi="Times New Roman" w:cs="Times New Roman"/>
          <w:color w:val="000000"/>
          <w:sz w:val="27"/>
          <w:szCs w:val="27"/>
        </w:rPr>
        <w:instrText xml:space="preserve"> HYPERLINK "http://data.parliament.uk/writtenevidence/committeeevidence.svc/evidencedocument/environmental-audit-committee/sustainable-seas/written/83074.html" \l "_ftnref5" </w:instrText>
      </w:r>
      <w:r w:rsidRPr="00D85612">
        <w:rPr>
          <w:rFonts w:ascii="Times New Roman" w:eastAsia="Times New Roman" w:hAnsi="Times New Roman" w:cs="Times New Roman"/>
          <w:color w:val="000000"/>
          <w:sz w:val="27"/>
          <w:szCs w:val="27"/>
        </w:rPr>
        <w:fldChar w:fldCharType="separate"/>
      </w:r>
      <w:r w:rsidRPr="00D85612">
        <w:rPr>
          <w:rFonts w:ascii="Times New Roman" w:eastAsia="Times New Roman" w:hAnsi="Times New Roman" w:cs="Times New Roman"/>
          <w:color w:val="0000FF"/>
          <w:sz w:val="27"/>
          <w:szCs w:val="27"/>
          <w:u w:val="single"/>
        </w:rPr>
        <w:t>[5]</w:t>
      </w:r>
      <w:r w:rsidRPr="00D85612">
        <w:rPr>
          <w:rFonts w:ascii="Times New Roman" w:eastAsia="Times New Roman" w:hAnsi="Times New Roman" w:cs="Times New Roman"/>
          <w:color w:val="000000"/>
          <w:sz w:val="27"/>
          <w:szCs w:val="27"/>
        </w:rPr>
        <w:fldChar w:fldCharType="end"/>
      </w:r>
      <w:r w:rsidRPr="00D85612">
        <w:rPr>
          <w:rFonts w:ascii="Calibri Light" w:eastAsia="Times New Roman" w:hAnsi="Calibri Light" w:cs="Times New Roman"/>
          <w:color w:val="000000"/>
          <w:sz w:val="16"/>
          <w:szCs w:val="16"/>
        </w:rPr>
        <w:t xml:space="preserve"> For further discussion on the on-going debate on the legal status of marine genetic resources in areas beyond national jurisdiction, see G. Wright, J. </w:t>
      </w:r>
      <w:proofErr w:type="spellStart"/>
      <w:r w:rsidRPr="00D85612">
        <w:rPr>
          <w:rFonts w:ascii="Calibri Light" w:eastAsia="Times New Roman" w:hAnsi="Calibri Light" w:cs="Times New Roman"/>
          <w:color w:val="000000"/>
          <w:sz w:val="16"/>
          <w:szCs w:val="16"/>
        </w:rPr>
        <w:t>Rochette</w:t>
      </w:r>
      <w:proofErr w:type="spellEnd"/>
      <w:r w:rsidRPr="00D85612">
        <w:rPr>
          <w:rFonts w:ascii="Calibri Light" w:eastAsia="Times New Roman" w:hAnsi="Calibri Light" w:cs="Times New Roman"/>
          <w:color w:val="000000"/>
          <w:sz w:val="16"/>
          <w:szCs w:val="16"/>
        </w:rPr>
        <w:t xml:space="preserve">, S. Unger, K. </w:t>
      </w:r>
      <w:proofErr w:type="spellStart"/>
      <w:r w:rsidRPr="00D85612">
        <w:rPr>
          <w:rFonts w:ascii="Calibri Light" w:eastAsia="Times New Roman" w:hAnsi="Calibri Light" w:cs="Times New Roman"/>
          <w:color w:val="000000"/>
          <w:sz w:val="16"/>
          <w:szCs w:val="16"/>
        </w:rPr>
        <w:t>Gjerde</w:t>
      </w:r>
      <w:proofErr w:type="spellEnd"/>
      <w:r w:rsidRPr="00D85612">
        <w:rPr>
          <w:rFonts w:ascii="Calibri Light" w:eastAsia="Times New Roman" w:hAnsi="Calibri Light" w:cs="Times New Roman"/>
          <w:color w:val="000000"/>
          <w:sz w:val="16"/>
          <w:szCs w:val="16"/>
        </w:rPr>
        <w:t xml:space="preserve">, J. </w:t>
      </w:r>
      <w:proofErr w:type="spellStart"/>
      <w:r w:rsidRPr="00D85612">
        <w:rPr>
          <w:rFonts w:ascii="Calibri Light" w:eastAsia="Times New Roman" w:hAnsi="Calibri Light" w:cs="Times New Roman"/>
          <w:color w:val="000000"/>
          <w:sz w:val="16"/>
          <w:szCs w:val="16"/>
        </w:rPr>
        <w:t>Ardron</w:t>
      </w:r>
      <w:proofErr w:type="spellEnd"/>
      <w:r w:rsidRPr="00D85612">
        <w:rPr>
          <w:rFonts w:ascii="Calibri Light" w:eastAsia="Times New Roman" w:hAnsi="Calibri Light" w:cs="Times New Roman"/>
          <w:color w:val="000000"/>
          <w:sz w:val="16"/>
          <w:szCs w:val="16"/>
        </w:rPr>
        <w:t>., The Scores at Half Time : An update on the international discussions on the governance of marine biodiversity in areas beyond national jurisdiction (IDDRI, 2014), Study 2/14. See also D. Leary, ‘Moving the Marine Genetic Resources Debate Forward: Some Reflections’ (2012) 27 </w:t>
      </w:r>
      <w:r w:rsidRPr="00D85612">
        <w:rPr>
          <w:rFonts w:ascii="Calibri Light" w:eastAsia="Times New Roman" w:hAnsi="Calibri Light" w:cs="Times New Roman"/>
          <w:i/>
          <w:iCs/>
          <w:color w:val="000000"/>
          <w:sz w:val="16"/>
          <w:szCs w:val="16"/>
        </w:rPr>
        <w:t>The International Journal of Marine and Coastal Law</w:t>
      </w:r>
      <w:r w:rsidRPr="00D85612">
        <w:rPr>
          <w:rFonts w:ascii="Calibri Light" w:eastAsia="Times New Roman" w:hAnsi="Calibri Light" w:cs="Times New Roman"/>
          <w:color w:val="000000"/>
          <w:sz w:val="16"/>
          <w:szCs w:val="16"/>
        </w:rPr>
        <w:t> 435-448.</w:t>
      </w:r>
    </w:p>
    <w:bookmarkStart w:id="29" w:name="_ftn6"/>
    <w:bookmarkEnd w:id="29"/>
    <w:p w:rsidR="00D85612" w:rsidRPr="00D85612" w:rsidRDefault="00D85612" w:rsidP="00D85612">
      <w:pPr>
        <w:spacing w:after="0" w:line="240" w:lineRule="auto"/>
        <w:jc w:val="both"/>
        <w:rPr>
          <w:rFonts w:ascii="Times New Roman" w:eastAsia="Times New Roman" w:hAnsi="Times New Roman" w:cs="Times New Roman"/>
          <w:color w:val="000000"/>
          <w:sz w:val="27"/>
          <w:szCs w:val="27"/>
        </w:rPr>
      </w:pPr>
      <w:r w:rsidRPr="00D85612">
        <w:rPr>
          <w:rFonts w:ascii="Times New Roman" w:eastAsia="Times New Roman" w:hAnsi="Times New Roman" w:cs="Times New Roman"/>
          <w:color w:val="000000"/>
          <w:sz w:val="27"/>
          <w:szCs w:val="27"/>
        </w:rPr>
        <w:fldChar w:fldCharType="begin"/>
      </w:r>
      <w:r w:rsidRPr="00D85612">
        <w:rPr>
          <w:rFonts w:ascii="Times New Roman" w:eastAsia="Times New Roman" w:hAnsi="Times New Roman" w:cs="Times New Roman"/>
          <w:color w:val="000000"/>
          <w:sz w:val="27"/>
          <w:szCs w:val="27"/>
        </w:rPr>
        <w:instrText xml:space="preserve"> HYPERLINK "http://data.parliament.uk/writtenevidence/committeeevidence.svc/evidencedocument/environmental-audit-committee/sustainable-seas/written/83074.html" \l "_ftnref6" </w:instrText>
      </w:r>
      <w:r w:rsidRPr="00D85612">
        <w:rPr>
          <w:rFonts w:ascii="Times New Roman" w:eastAsia="Times New Roman" w:hAnsi="Times New Roman" w:cs="Times New Roman"/>
          <w:color w:val="000000"/>
          <w:sz w:val="27"/>
          <w:szCs w:val="27"/>
        </w:rPr>
        <w:fldChar w:fldCharType="separate"/>
      </w:r>
      <w:r w:rsidRPr="00D85612">
        <w:rPr>
          <w:rFonts w:ascii="Times New Roman" w:eastAsia="Times New Roman" w:hAnsi="Times New Roman" w:cs="Times New Roman"/>
          <w:color w:val="0000FF"/>
          <w:sz w:val="27"/>
          <w:szCs w:val="27"/>
          <w:u w:val="single"/>
        </w:rPr>
        <w:t>[6]</w:t>
      </w:r>
      <w:r w:rsidRPr="00D85612">
        <w:rPr>
          <w:rFonts w:ascii="Times New Roman" w:eastAsia="Times New Roman" w:hAnsi="Times New Roman" w:cs="Times New Roman"/>
          <w:color w:val="000000"/>
          <w:sz w:val="27"/>
          <w:szCs w:val="27"/>
        </w:rPr>
        <w:fldChar w:fldCharType="end"/>
      </w:r>
      <w:r w:rsidRPr="00D85612">
        <w:rPr>
          <w:rFonts w:ascii="Calibri Light" w:eastAsia="Times New Roman" w:hAnsi="Calibri Light" w:cs="Times New Roman"/>
          <w:color w:val="000000"/>
          <w:sz w:val="16"/>
          <w:szCs w:val="16"/>
        </w:rPr>
        <w:t> Article 157(2) LOSC.</w:t>
      </w:r>
    </w:p>
    <w:bookmarkStart w:id="30" w:name="_ftn7"/>
    <w:bookmarkEnd w:id="30"/>
    <w:p w:rsidR="00D85612" w:rsidRPr="00D85612" w:rsidRDefault="00D85612" w:rsidP="00D85612">
      <w:pPr>
        <w:spacing w:after="0" w:line="240" w:lineRule="auto"/>
        <w:jc w:val="both"/>
        <w:rPr>
          <w:rFonts w:ascii="Times New Roman" w:eastAsia="Times New Roman" w:hAnsi="Times New Roman" w:cs="Times New Roman"/>
          <w:color w:val="000000"/>
          <w:sz w:val="27"/>
          <w:szCs w:val="27"/>
        </w:rPr>
      </w:pPr>
      <w:r w:rsidRPr="00D85612">
        <w:rPr>
          <w:rFonts w:ascii="Times New Roman" w:eastAsia="Times New Roman" w:hAnsi="Times New Roman" w:cs="Times New Roman"/>
          <w:color w:val="000000"/>
          <w:sz w:val="27"/>
          <w:szCs w:val="27"/>
        </w:rPr>
        <w:fldChar w:fldCharType="begin"/>
      </w:r>
      <w:r w:rsidRPr="00D85612">
        <w:rPr>
          <w:rFonts w:ascii="Times New Roman" w:eastAsia="Times New Roman" w:hAnsi="Times New Roman" w:cs="Times New Roman"/>
          <w:color w:val="000000"/>
          <w:sz w:val="27"/>
          <w:szCs w:val="27"/>
        </w:rPr>
        <w:instrText xml:space="preserve"> HYPERLINK "http://data.parliament.uk/writtenevidence/committeeevidence.svc/evidencedocument/environmental-audit-committee/sustainable-seas/written/83074.html" \l "_ftnref7" </w:instrText>
      </w:r>
      <w:r w:rsidRPr="00D85612">
        <w:rPr>
          <w:rFonts w:ascii="Times New Roman" w:eastAsia="Times New Roman" w:hAnsi="Times New Roman" w:cs="Times New Roman"/>
          <w:color w:val="000000"/>
          <w:sz w:val="27"/>
          <w:szCs w:val="27"/>
        </w:rPr>
        <w:fldChar w:fldCharType="separate"/>
      </w:r>
      <w:r w:rsidRPr="00D85612">
        <w:rPr>
          <w:rFonts w:ascii="Times New Roman" w:eastAsia="Times New Roman" w:hAnsi="Times New Roman" w:cs="Times New Roman"/>
          <w:color w:val="0000FF"/>
          <w:sz w:val="27"/>
          <w:szCs w:val="27"/>
          <w:u w:val="single"/>
        </w:rPr>
        <w:t>[7]</w:t>
      </w:r>
      <w:r w:rsidRPr="00D85612">
        <w:rPr>
          <w:rFonts w:ascii="Times New Roman" w:eastAsia="Times New Roman" w:hAnsi="Times New Roman" w:cs="Times New Roman"/>
          <w:color w:val="000000"/>
          <w:sz w:val="27"/>
          <w:szCs w:val="27"/>
        </w:rPr>
        <w:fldChar w:fldCharType="end"/>
      </w:r>
      <w:r w:rsidRPr="00D85612">
        <w:rPr>
          <w:rFonts w:ascii="Calibri Light" w:eastAsia="Times New Roman" w:hAnsi="Calibri Light" w:cs="Times New Roman"/>
          <w:color w:val="000000"/>
          <w:sz w:val="16"/>
          <w:szCs w:val="16"/>
        </w:rPr>
        <w:t xml:space="preserve"> A. </w:t>
      </w:r>
      <w:proofErr w:type="spellStart"/>
      <w:r w:rsidRPr="00D85612">
        <w:rPr>
          <w:rFonts w:ascii="Calibri Light" w:eastAsia="Times New Roman" w:hAnsi="Calibri Light" w:cs="Times New Roman"/>
          <w:color w:val="000000"/>
          <w:sz w:val="16"/>
          <w:szCs w:val="16"/>
        </w:rPr>
        <w:t>Saravanan</w:t>
      </w:r>
      <w:proofErr w:type="spellEnd"/>
      <w:r w:rsidRPr="00D85612">
        <w:rPr>
          <w:rFonts w:ascii="Calibri Light" w:eastAsia="Times New Roman" w:hAnsi="Calibri Light" w:cs="Times New Roman"/>
          <w:color w:val="000000"/>
          <w:sz w:val="16"/>
          <w:szCs w:val="16"/>
        </w:rPr>
        <w:t>, D. Deepak, ‘</w:t>
      </w:r>
      <w:proofErr w:type="gramStart"/>
      <w:r w:rsidRPr="00D85612">
        <w:rPr>
          <w:rFonts w:ascii="Calibri Light" w:eastAsia="Times New Roman" w:hAnsi="Calibri Light" w:cs="Times New Roman"/>
          <w:color w:val="000000"/>
          <w:sz w:val="16"/>
          <w:szCs w:val="16"/>
        </w:rPr>
        <w:t>Patenting</w:t>
      </w:r>
      <w:proofErr w:type="gramEnd"/>
      <w:r w:rsidRPr="00D85612">
        <w:rPr>
          <w:rFonts w:ascii="Calibri Light" w:eastAsia="Times New Roman" w:hAnsi="Calibri Light" w:cs="Times New Roman"/>
          <w:color w:val="000000"/>
          <w:sz w:val="16"/>
          <w:szCs w:val="16"/>
        </w:rPr>
        <w:t xml:space="preserve"> trends in marine biodiversity: Issues and Challenges’ (2013) 7 </w:t>
      </w:r>
      <w:r w:rsidRPr="00D85612">
        <w:rPr>
          <w:rFonts w:ascii="Calibri Light" w:eastAsia="Times New Roman" w:hAnsi="Calibri Light" w:cs="Times New Roman"/>
          <w:i/>
          <w:iCs/>
          <w:color w:val="000000"/>
          <w:sz w:val="16"/>
          <w:szCs w:val="16"/>
        </w:rPr>
        <w:t>Pharma Utility</w:t>
      </w:r>
      <w:r w:rsidRPr="00D85612">
        <w:rPr>
          <w:rFonts w:ascii="Calibri Light" w:eastAsia="Times New Roman" w:hAnsi="Calibri Light" w:cs="Times New Roman"/>
          <w:color w:val="000000"/>
          <w:sz w:val="16"/>
          <w:szCs w:val="16"/>
        </w:rPr>
        <w:t> 4, p.8.</w:t>
      </w:r>
    </w:p>
    <w:bookmarkStart w:id="31" w:name="_ftn8"/>
    <w:bookmarkEnd w:id="31"/>
    <w:p w:rsidR="00D85612" w:rsidRPr="00D85612" w:rsidRDefault="00D85612" w:rsidP="00D85612">
      <w:pPr>
        <w:spacing w:after="0" w:line="240" w:lineRule="auto"/>
        <w:jc w:val="both"/>
        <w:rPr>
          <w:rFonts w:ascii="Times New Roman" w:eastAsia="Times New Roman" w:hAnsi="Times New Roman" w:cs="Times New Roman"/>
          <w:color w:val="000000"/>
          <w:sz w:val="27"/>
          <w:szCs w:val="27"/>
        </w:rPr>
      </w:pPr>
      <w:r w:rsidRPr="00D85612">
        <w:rPr>
          <w:rFonts w:ascii="Times New Roman" w:eastAsia="Times New Roman" w:hAnsi="Times New Roman" w:cs="Times New Roman"/>
          <w:color w:val="000000"/>
          <w:sz w:val="27"/>
          <w:szCs w:val="27"/>
        </w:rPr>
        <w:fldChar w:fldCharType="begin"/>
      </w:r>
      <w:r w:rsidRPr="00D85612">
        <w:rPr>
          <w:rFonts w:ascii="Times New Roman" w:eastAsia="Times New Roman" w:hAnsi="Times New Roman" w:cs="Times New Roman"/>
          <w:color w:val="000000"/>
          <w:sz w:val="27"/>
          <w:szCs w:val="27"/>
        </w:rPr>
        <w:instrText xml:space="preserve"> HYPERLINK "http://data.parliament.uk/writtenevidence/committeeevidence.svc/evidencedocument/environmental-audit-committee/sustainable-seas/written/83074.html" \l "_ftnref8" </w:instrText>
      </w:r>
      <w:r w:rsidRPr="00D85612">
        <w:rPr>
          <w:rFonts w:ascii="Times New Roman" w:eastAsia="Times New Roman" w:hAnsi="Times New Roman" w:cs="Times New Roman"/>
          <w:color w:val="000000"/>
          <w:sz w:val="27"/>
          <w:szCs w:val="27"/>
        </w:rPr>
        <w:fldChar w:fldCharType="separate"/>
      </w:r>
      <w:r w:rsidRPr="00D85612">
        <w:rPr>
          <w:rFonts w:ascii="Times New Roman" w:eastAsia="Times New Roman" w:hAnsi="Times New Roman" w:cs="Times New Roman"/>
          <w:color w:val="0000FF"/>
          <w:sz w:val="27"/>
          <w:szCs w:val="27"/>
          <w:u w:val="single"/>
        </w:rPr>
        <w:t>[8]</w:t>
      </w:r>
      <w:r w:rsidRPr="00D85612">
        <w:rPr>
          <w:rFonts w:ascii="Times New Roman" w:eastAsia="Times New Roman" w:hAnsi="Times New Roman" w:cs="Times New Roman"/>
          <w:color w:val="000000"/>
          <w:sz w:val="27"/>
          <w:szCs w:val="27"/>
        </w:rPr>
        <w:fldChar w:fldCharType="end"/>
      </w:r>
      <w:r w:rsidRPr="00D85612">
        <w:rPr>
          <w:rFonts w:ascii="Calibri Light" w:eastAsia="Times New Roman" w:hAnsi="Calibri Light" w:cs="Times New Roman"/>
          <w:color w:val="000000"/>
          <w:sz w:val="16"/>
          <w:szCs w:val="16"/>
        </w:rPr>
        <w:t> M.D. Evans, International Law (Oxford University Press, third edition, New York, 2010) p.125.</w:t>
      </w:r>
    </w:p>
    <w:bookmarkStart w:id="32" w:name="_ftn9"/>
    <w:bookmarkEnd w:id="32"/>
    <w:p w:rsidR="00D85612" w:rsidRPr="00D85612" w:rsidRDefault="00D85612" w:rsidP="00D85612">
      <w:pPr>
        <w:spacing w:after="0" w:line="240" w:lineRule="auto"/>
        <w:jc w:val="both"/>
        <w:rPr>
          <w:rFonts w:ascii="Times New Roman" w:eastAsia="Times New Roman" w:hAnsi="Times New Roman" w:cs="Times New Roman"/>
          <w:color w:val="000000"/>
          <w:sz w:val="27"/>
          <w:szCs w:val="27"/>
        </w:rPr>
      </w:pPr>
      <w:r w:rsidRPr="00D85612">
        <w:rPr>
          <w:rFonts w:ascii="Times New Roman" w:eastAsia="Times New Roman" w:hAnsi="Times New Roman" w:cs="Times New Roman"/>
          <w:color w:val="000000"/>
          <w:sz w:val="27"/>
          <w:szCs w:val="27"/>
        </w:rPr>
        <w:fldChar w:fldCharType="begin"/>
      </w:r>
      <w:r w:rsidRPr="00D85612">
        <w:rPr>
          <w:rFonts w:ascii="Times New Roman" w:eastAsia="Times New Roman" w:hAnsi="Times New Roman" w:cs="Times New Roman"/>
          <w:color w:val="000000"/>
          <w:sz w:val="27"/>
          <w:szCs w:val="27"/>
        </w:rPr>
        <w:instrText xml:space="preserve"> HYPERLINK "http://data.parliament.uk/writtenevidence/committeeevidence.svc/evidencedocument/environmental-audit-committee/sustainable-seas/written/83074.html" \l "_ftnref9" </w:instrText>
      </w:r>
      <w:r w:rsidRPr="00D85612">
        <w:rPr>
          <w:rFonts w:ascii="Times New Roman" w:eastAsia="Times New Roman" w:hAnsi="Times New Roman" w:cs="Times New Roman"/>
          <w:color w:val="000000"/>
          <w:sz w:val="27"/>
          <w:szCs w:val="27"/>
        </w:rPr>
        <w:fldChar w:fldCharType="separate"/>
      </w:r>
      <w:r w:rsidRPr="00D85612">
        <w:rPr>
          <w:rFonts w:ascii="Times New Roman" w:eastAsia="Times New Roman" w:hAnsi="Times New Roman" w:cs="Times New Roman"/>
          <w:color w:val="0000FF"/>
          <w:sz w:val="27"/>
          <w:szCs w:val="27"/>
          <w:u w:val="single"/>
        </w:rPr>
        <w:t>[9]</w:t>
      </w:r>
      <w:r w:rsidRPr="00D85612">
        <w:rPr>
          <w:rFonts w:ascii="Times New Roman" w:eastAsia="Times New Roman" w:hAnsi="Times New Roman" w:cs="Times New Roman"/>
          <w:color w:val="000000"/>
          <w:sz w:val="27"/>
          <w:szCs w:val="27"/>
        </w:rPr>
        <w:fldChar w:fldCharType="end"/>
      </w:r>
      <w:r w:rsidRPr="00D85612">
        <w:rPr>
          <w:rFonts w:ascii="Calibri Light" w:eastAsia="Times New Roman" w:hAnsi="Calibri Light" w:cs="Times New Roman"/>
          <w:color w:val="000000"/>
          <w:sz w:val="16"/>
          <w:szCs w:val="16"/>
        </w:rPr>
        <w:t xml:space="preserve"> S. Kim, J. </w:t>
      </w:r>
      <w:proofErr w:type="spellStart"/>
      <w:r w:rsidRPr="00D85612">
        <w:rPr>
          <w:rFonts w:ascii="Calibri Light" w:eastAsia="Times New Roman" w:hAnsi="Calibri Light" w:cs="Times New Roman"/>
          <w:color w:val="000000"/>
          <w:sz w:val="16"/>
          <w:szCs w:val="16"/>
        </w:rPr>
        <w:t>Vankatesan</w:t>
      </w:r>
      <w:proofErr w:type="spellEnd"/>
      <w:r w:rsidRPr="00D85612">
        <w:rPr>
          <w:rFonts w:ascii="Calibri Light" w:eastAsia="Times New Roman" w:hAnsi="Calibri Light" w:cs="Times New Roman"/>
          <w:color w:val="000000"/>
          <w:sz w:val="16"/>
          <w:szCs w:val="16"/>
        </w:rPr>
        <w:t>, Introduction to Marine Biotechnology in S. Kim (ed.), Springer Handbook of Marine Biotechnology, (Berlin, 2015), p. 7.</w:t>
      </w:r>
    </w:p>
    <w:bookmarkStart w:id="33" w:name="_ftn10"/>
    <w:bookmarkEnd w:id="33"/>
    <w:p w:rsidR="00D85612" w:rsidRPr="00D85612" w:rsidRDefault="00D85612" w:rsidP="00D85612">
      <w:pPr>
        <w:spacing w:after="0" w:line="240" w:lineRule="auto"/>
        <w:jc w:val="both"/>
        <w:rPr>
          <w:rFonts w:ascii="Times New Roman" w:eastAsia="Times New Roman" w:hAnsi="Times New Roman" w:cs="Times New Roman"/>
          <w:color w:val="000000"/>
          <w:sz w:val="27"/>
          <w:szCs w:val="27"/>
        </w:rPr>
      </w:pPr>
      <w:r w:rsidRPr="00D85612">
        <w:rPr>
          <w:rFonts w:ascii="Times New Roman" w:eastAsia="Times New Roman" w:hAnsi="Times New Roman" w:cs="Times New Roman"/>
          <w:color w:val="000000"/>
          <w:sz w:val="27"/>
          <w:szCs w:val="27"/>
        </w:rPr>
        <w:fldChar w:fldCharType="begin"/>
      </w:r>
      <w:r w:rsidRPr="00D85612">
        <w:rPr>
          <w:rFonts w:ascii="Times New Roman" w:eastAsia="Times New Roman" w:hAnsi="Times New Roman" w:cs="Times New Roman"/>
          <w:color w:val="000000"/>
          <w:sz w:val="27"/>
          <w:szCs w:val="27"/>
        </w:rPr>
        <w:instrText xml:space="preserve"> HYPERLINK "http://data.parliament.uk/writtenevidence/committeeevidence.svc/evidencedocument/environmental-audit-committee/sustainable-seas/written/83074.html" \l "_ftnref10" </w:instrText>
      </w:r>
      <w:r w:rsidRPr="00D85612">
        <w:rPr>
          <w:rFonts w:ascii="Times New Roman" w:eastAsia="Times New Roman" w:hAnsi="Times New Roman" w:cs="Times New Roman"/>
          <w:color w:val="000000"/>
          <w:sz w:val="27"/>
          <w:szCs w:val="27"/>
        </w:rPr>
        <w:fldChar w:fldCharType="separate"/>
      </w:r>
      <w:r w:rsidRPr="00D85612">
        <w:rPr>
          <w:rFonts w:ascii="Times New Roman" w:eastAsia="Times New Roman" w:hAnsi="Times New Roman" w:cs="Times New Roman"/>
          <w:color w:val="0000FF"/>
          <w:sz w:val="27"/>
          <w:szCs w:val="27"/>
          <w:u w:val="single"/>
        </w:rPr>
        <w:t>[10]</w:t>
      </w:r>
      <w:r w:rsidRPr="00D85612">
        <w:rPr>
          <w:rFonts w:ascii="Times New Roman" w:eastAsia="Times New Roman" w:hAnsi="Times New Roman" w:cs="Times New Roman"/>
          <w:color w:val="000000"/>
          <w:sz w:val="27"/>
          <w:szCs w:val="27"/>
        </w:rPr>
        <w:fldChar w:fldCharType="end"/>
      </w:r>
      <w:r w:rsidRPr="00D85612">
        <w:rPr>
          <w:rFonts w:ascii="Calibri Light" w:eastAsia="Times New Roman" w:hAnsi="Calibri Light" w:cs="Times New Roman"/>
          <w:color w:val="000000"/>
          <w:sz w:val="16"/>
          <w:szCs w:val="16"/>
        </w:rPr>
        <w:t> Hamilton Declaration on Collaboration for the Conservation of the Sargasso Sea, 11 March 2014 (hereafter Hamilton Declaration)</w:t>
      </w:r>
    </w:p>
    <w:bookmarkStart w:id="34" w:name="_ftn11"/>
    <w:bookmarkEnd w:id="34"/>
    <w:p w:rsidR="00D85612" w:rsidRPr="00D85612" w:rsidRDefault="00D85612" w:rsidP="00D85612">
      <w:pPr>
        <w:spacing w:after="0" w:line="240" w:lineRule="auto"/>
        <w:jc w:val="both"/>
        <w:rPr>
          <w:rFonts w:ascii="Times New Roman" w:eastAsia="Times New Roman" w:hAnsi="Times New Roman" w:cs="Times New Roman"/>
          <w:color w:val="000000"/>
          <w:sz w:val="27"/>
          <w:szCs w:val="27"/>
        </w:rPr>
      </w:pPr>
      <w:r w:rsidRPr="00D85612">
        <w:rPr>
          <w:rFonts w:ascii="Times New Roman" w:eastAsia="Times New Roman" w:hAnsi="Times New Roman" w:cs="Times New Roman"/>
          <w:color w:val="000000"/>
          <w:sz w:val="27"/>
          <w:szCs w:val="27"/>
        </w:rPr>
        <w:fldChar w:fldCharType="begin"/>
      </w:r>
      <w:r w:rsidRPr="00D85612">
        <w:rPr>
          <w:rFonts w:ascii="Times New Roman" w:eastAsia="Times New Roman" w:hAnsi="Times New Roman" w:cs="Times New Roman"/>
          <w:color w:val="000000"/>
          <w:sz w:val="27"/>
          <w:szCs w:val="27"/>
        </w:rPr>
        <w:instrText xml:space="preserve"> HYPERLINK "http://data.parliament.uk/writtenevidence/committeeevidence.svc/evidencedocument/environmental-audit-committee/sustainable-seas/written/83074.html" \l "_ftnref11" </w:instrText>
      </w:r>
      <w:r w:rsidRPr="00D85612">
        <w:rPr>
          <w:rFonts w:ascii="Times New Roman" w:eastAsia="Times New Roman" w:hAnsi="Times New Roman" w:cs="Times New Roman"/>
          <w:color w:val="000000"/>
          <w:sz w:val="27"/>
          <w:szCs w:val="27"/>
        </w:rPr>
        <w:fldChar w:fldCharType="separate"/>
      </w:r>
      <w:r w:rsidRPr="00D85612">
        <w:rPr>
          <w:rFonts w:ascii="Times New Roman" w:eastAsia="Times New Roman" w:hAnsi="Times New Roman" w:cs="Times New Roman"/>
          <w:color w:val="0000FF"/>
          <w:sz w:val="27"/>
          <w:szCs w:val="27"/>
          <w:u w:val="single"/>
        </w:rPr>
        <w:t>[11]</w:t>
      </w:r>
      <w:r w:rsidRPr="00D85612">
        <w:rPr>
          <w:rFonts w:ascii="Times New Roman" w:eastAsia="Times New Roman" w:hAnsi="Times New Roman" w:cs="Times New Roman"/>
          <w:color w:val="000000"/>
          <w:sz w:val="27"/>
          <w:szCs w:val="27"/>
        </w:rPr>
        <w:fldChar w:fldCharType="end"/>
      </w:r>
      <w:r w:rsidRPr="00D85612">
        <w:rPr>
          <w:rFonts w:ascii="Calibri Light" w:eastAsia="Times New Roman" w:hAnsi="Calibri Light" w:cs="Times New Roman"/>
          <w:color w:val="000000"/>
          <w:sz w:val="16"/>
          <w:szCs w:val="16"/>
        </w:rPr>
        <w:t> D. Freestone, ‘The Sargasso Sea Alliance: Working to Protect the “Golden Floating Rainforest of the Ocean”’ (2014) 44 </w:t>
      </w:r>
      <w:r w:rsidRPr="00D85612">
        <w:rPr>
          <w:rFonts w:ascii="Calibri Light" w:eastAsia="Times New Roman" w:hAnsi="Calibri Light" w:cs="Times New Roman"/>
          <w:i/>
          <w:iCs/>
          <w:color w:val="000000"/>
          <w:sz w:val="16"/>
          <w:szCs w:val="16"/>
        </w:rPr>
        <w:t>Environmental Policy and Law</w:t>
      </w:r>
      <w:r w:rsidRPr="00D85612">
        <w:rPr>
          <w:rFonts w:ascii="Calibri Light" w:eastAsia="Times New Roman" w:hAnsi="Calibri Light" w:cs="Times New Roman"/>
          <w:color w:val="000000"/>
          <w:sz w:val="16"/>
          <w:szCs w:val="16"/>
        </w:rPr>
        <w:t> 1-2, p.156.</w:t>
      </w:r>
    </w:p>
    <w:bookmarkStart w:id="35" w:name="_ftn12"/>
    <w:bookmarkEnd w:id="35"/>
    <w:p w:rsidR="00D85612" w:rsidRPr="00D85612" w:rsidRDefault="00D85612" w:rsidP="00D85612">
      <w:pPr>
        <w:spacing w:after="0" w:line="240" w:lineRule="auto"/>
        <w:jc w:val="both"/>
        <w:rPr>
          <w:rFonts w:ascii="Times New Roman" w:eastAsia="Times New Roman" w:hAnsi="Times New Roman" w:cs="Times New Roman"/>
          <w:color w:val="000000"/>
          <w:sz w:val="27"/>
          <w:szCs w:val="27"/>
        </w:rPr>
      </w:pPr>
      <w:r w:rsidRPr="00D85612">
        <w:rPr>
          <w:rFonts w:ascii="Times New Roman" w:eastAsia="Times New Roman" w:hAnsi="Times New Roman" w:cs="Times New Roman"/>
          <w:color w:val="000000"/>
          <w:sz w:val="27"/>
          <w:szCs w:val="27"/>
        </w:rPr>
        <w:fldChar w:fldCharType="begin"/>
      </w:r>
      <w:r w:rsidRPr="00D85612">
        <w:rPr>
          <w:rFonts w:ascii="Times New Roman" w:eastAsia="Times New Roman" w:hAnsi="Times New Roman" w:cs="Times New Roman"/>
          <w:color w:val="000000"/>
          <w:sz w:val="27"/>
          <w:szCs w:val="27"/>
        </w:rPr>
        <w:instrText xml:space="preserve"> HYPERLINK "http://data.parliament.uk/writtenevidence/committeeevidence.svc/evidencedocument/environmental-audit-committee/sustainable-seas/written/83074.html" \l "_ftnref12" </w:instrText>
      </w:r>
      <w:r w:rsidRPr="00D85612">
        <w:rPr>
          <w:rFonts w:ascii="Times New Roman" w:eastAsia="Times New Roman" w:hAnsi="Times New Roman" w:cs="Times New Roman"/>
          <w:color w:val="000000"/>
          <w:sz w:val="27"/>
          <w:szCs w:val="27"/>
        </w:rPr>
        <w:fldChar w:fldCharType="separate"/>
      </w:r>
      <w:r w:rsidRPr="00D85612">
        <w:rPr>
          <w:rFonts w:ascii="Times New Roman" w:eastAsia="Times New Roman" w:hAnsi="Times New Roman" w:cs="Times New Roman"/>
          <w:color w:val="0000FF"/>
          <w:sz w:val="27"/>
          <w:szCs w:val="27"/>
          <w:u w:val="single"/>
        </w:rPr>
        <w:t>[12]</w:t>
      </w:r>
      <w:r w:rsidRPr="00D85612">
        <w:rPr>
          <w:rFonts w:ascii="Times New Roman" w:eastAsia="Times New Roman" w:hAnsi="Times New Roman" w:cs="Times New Roman"/>
          <w:color w:val="000000"/>
          <w:sz w:val="27"/>
          <w:szCs w:val="27"/>
        </w:rPr>
        <w:fldChar w:fldCharType="end"/>
      </w:r>
      <w:r w:rsidRPr="00D85612">
        <w:rPr>
          <w:rFonts w:ascii="Calibri Light" w:eastAsia="Times New Roman" w:hAnsi="Calibri Light" w:cs="Times New Roman"/>
          <w:color w:val="000000"/>
          <w:sz w:val="16"/>
          <w:szCs w:val="16"/>
        </w:rPr>
        <w:t> http://www.sargassoalliance.org/about-the-alliance</w:t>
      </w:r>
    </w:p>
    <w:bookmarkStart w:id="36" w:name="_ftn13"/>
    <w:bookmarkEnd w:id="36"/>
    <w:p w:rsidR="00D85612" w:rsidRPr="00D85612" w:rsidRDefault="00D85612" w:rsidP="00D85612">
      <w:pPr>
        <w:spacing w:after="0" w:line="240" w:lineRule="auto"/>
        <w:jc w:val="both"/>
        <w:rPr>
          <w:rFonts w:ascii="Times New Roman" w:eastAsia="Times New Roman" w:hAnsi="Times New Roman" w:cs="Times New Roman"/>
          <w:color w:val="000000"/>
          <w:sz w:val="27"/>
          <w:szCs w:val="27"/>
        </w:rPr>
      </w:pPr>
      <w:r w:rsidRPr="00D85612">
        <w:rPr>
          <w:rFonts w:ascii="Times New Roman" w:eastAsia="Times New Roman" w:hAnsi="Times New Roman" w:cs="Times New Roman"/>
          <w:color w:val="000000"/>
          <w:sz w:val="27"/>
          <w:szCs w:val="27"/>
        </w:rPr>
        <w:fldChar w:fldCharType="begin"/>
      </w:r>
      <w:r w:rsidRPr="00D85612">
        <w:rPr>
          <w:rFonts w:ascii="Times New Roman" w:eastAsia="Times New Roman" w:hAnsi="Times New Roman" w:cs="Times New Roman"/>
          <w:color w:val="000000"/>
          <w:sz w:val="27"/>
          <w:szCs w:val="27"/>
        </w:rPr>
        <w:instrText xml:space="preserve"> HYPERLINK "http://data.parliament.uk/writtenevidence/committeeevidence.svc/evidencedocument/environmental-audit-committee/sustainable-seas/written/83074.html" \l "_ftnref13" </w:instrText>
      </w:r>
      <w:r w:rsidRPr="00D85612">
        <w:rPr>
          <w:rFonts w:ascii="Times New Roman" w:eastAsia="Times New Roman" w:hAnsi="Times New Roman" w:cs="Times New Roman"/>
          <w:color w:val="000000"/>
          <w:sz w:val="27"/>
          <w:szCs w:val="27"/>
        </w:rPr>
        <w:fldChar w:fldCharType="separate"/>
      </w:r>
      <w:r w:rsidRPr="00D85612">
        <w:rPr>
          <w:rFonts w:ascii="Times New Roman" w:eastAsia="Times New Roman" w:hAnsi="Times New Roman" w:cs="Times New Roman"/>
          <w:color w:val="0000FF"/>
          <w:sz w:val="27"/>
          <w:szCs w:val="27"/>
          <w:u w:val="single"/>
        </w:rPr>
        <w:t>[13]</w:t>
      </w:r>
      <w:r w:rsidRPr="00D85612">
        <w:rPr>
          <w:rFonts w:ascii="Times New Roman" w:eastAsia="Times New Roman" w:hAnsi="Times New Roman" w:cs="Times New Roman"/>
          <w:color w:val="000000"/>
          <w:sz w:val="27"/>
          <w:szCs w:val="27"/>
        </w:rPr>
        <w:fldChar w:fldCharType="end"/>
      </w:r>
      <w:r w:rsidRPr="00D85612">
        <w:rPr>
          <w:rFonts w:ascii="Calibri Light" w:eastAsia="Times New Roman" w:hAnsi="Calibri Light" w:cs="Times New Roman"/>
          <w:color w:val="000000"/>
          <w:sz w:val="16"/>
          <w:szCs w:val="16"/>
        </w:rPr>
        <w:t xml:space="preserve"> For a frank discussion on international legal personality, see N. D. White I. </w:t>
      </w:r>
      <w:proofErr w:type="spellStart"/>
      <w:r w:rsidRPr="00D85612">
        <w:rPr>
          <w:rFonts w:ascii="Calibri Light" w:eastAsia="Times New Roman" w:hAnsi="Calibri Light" w:cs="Times New Roman"/>
          <w:color w:val="000000"/>
          <w:sz w:val="16"/>
          <w:szCs w:val="16"/>
        </w:rPr>
        <w:t>Brownlie</w:t>
      </w:r>
      <w:proofErr w:type="spellEnd"/>
      <w:r w:rsidRPr="00D85612">
        <w:rPr>
          <w:rFonts w:ascii="Calibri Light" w:eastAsia="Times New Roman" w:hAnsi="Calibri Light" w:cs="Times New Roman"/>
          <w:color w:val="000000"/>
          <w:sz w:val="16"/>
          <w:szCs w:val="16"/>
        </w:rPr>
        <w:t>, “Principle of Public International Law</w:t>
      </w:r>
      <w:proofErr w:type="gramStart"/>
      <w:r w:rsidRPr="00D85612">
        <w:rPr>
          <w:rFonts w:ascii="Calibri Light" w:eastAsia="Times New Roman" w:hAnsi="Calibri Light" w:cs="Times New Roman"/>
          <w:color w:val="000000"/>
          <w:sz w:val="16"/>
          <w:szCs w:val="16"/>
        </w:rPr>
        <w:t>”(</w:t>
      </w:r>
      <w:proofErr w:type="gramEnd"/>
      <w:r w:rsidRPr="00D85612">
        <w:rPr>
          <w:rFonts w:ascii="Calibri Light" w:eastAsia="Times New Roman" w:hAnsi="Calibri Light" w:cs="Times New Roman"/>
          <w:color w:val="000000"/>
          <w:sz w:val="16"/>
          <w:szCs w:val="16"/>
        </w:rPr>
        <w:t xml:space="preserve"> 6</w:t>
      </w:r>
      <w:r w:rsidRPr="00D85612">
        <w:rPr>
          <w:rFonts w:ascii="Calibri Light" w:eastAsia="Times New Roman" w:hAnsi="Calibri Light" w:cs="Times New Roman"/>
          <w:color w:val="000000"/>
          <w:sz w:val="11"/>
          <w:szCs w:val="11"/>
          <w:vertAlign w:val="superscript"/>
        </w:rPr>
        <w:t>th</w:t>
      </w:r>
      <w:r w:rsidRPr="00D85612">
        <w:rPr>
          <w:rFonts w:ascii="Calibri Light" w:eastAsia="Times New Roman" w:hAnsi="Calibri Light" w:cs="Times New Roman"/>
          <w:color w:val="000000"/>
          <w:sz w:val="16"/>
          <w:szCs w:val="16"/>
        </w:rPr>
        <w:t> </w:t>
      </w:r>
      <w:proofErr w:type="spellStart"/>
      <w:r w:rsidRPr="00D85612">
        <w:rPr>
          <w:rFonts w:ascii="Calibri Light" w:eastAsia="Times New Roman" w:hAnsi="Calibri Light" w:cs="Times New Roman"/>
          <w:color w:val="000000"/>
          <w:sz w:val="16"/>
          <w:szCs w:val="16"/>
        </w:rPr>
        <w:t>ed</w:t>
      </w:r>
      <w:proofErr w:type="spellEnd"/>
      <w:r w:rsidRPr="00D85612">
        <w:rPr>
          <w:rFonts w:ascii="Calibri Light" w:eastAsia="Times New Roman" w:hAnsi="Calibri Light" w:cs="Times New Roman"/>
          <w:color w:val="000000"/>
          <w:sz w:val="16"/>
          <w:szCs w:val="16"/>
        </w:rPr>
        <w:t xml:space="preserve">, </w:t>
      </w:r>
      <w:proofErr w:type="spellStart"/>
      <w:r w:rsidRPr="00D85612">
        <w:rPr>
          <w:rFonts w:ascii="Calibri Light" w:eastAsia="Times New Roman" w:hAnsi="Calibri Light" w:cs="Times New Roman"/>
          <w:color w:val="000000"/>
          <w:sz w:val="16"/>
          <w:szCs w:val="16"/>
        </w:rPr>
        <w:t>Oxord</w:t>
      </w:r>
      <w:proofErr w:type="spellEnd"/>
      <w:r w:rsidRPr="00D85612">
        <w:rPr>
          <w:rFonts w:ascii="Calibri Light" w:eastAsia="Times New Roman" w:hAnsi="Calibri Light" w:cs="Times New Roman"/>
          <w:color w:val="000000"/>
          <w:sz w:val="16"/>
          <w:szCs w:val="16"/>
        </w:rPr>
        <w:t xml:space="preserve"> University Press, UK, 2003). See also H. G. </w:t>
      </w:r>
      <w:proofErr w:type="spellStart"/>
      <w:r w:rsidRPr="00D85612">
        <w:rPr>
          <w:rFonts w:ascii="Calibri Light" w:eastAsia="Times New Roman" w:hAnsi="Calibri Light" w:cs="Times New Roman"/>
          <w:color w:val="000000"/>
          <w:sz w:val="16"/>
          <w:szCs w:val="16"/>
        </w:rPr>
        <w:t>Schermers</w:t>
      </w:r>
      <w:proofErr w:type="spellEnd"/>
      <w:r w:rsidRPr="00D85612">
        <w:rPr>
          <w:rFonts w:ascii="Calibri Light" w:eastAsia="Times New Roman" w:hAnsi="Calibri Light" w:cs="Times New Roman"/>
          <w:color w:val="000000"/>
          <w:sz w:val="16"/>
          <w:szCs w:val="16"/>
        </w:rPr>
        <w:t xml:space="preserve"> and N. M. </w:t>
      </w:r>
      <w:proofErr w:type="spellStart"/>
      <w:r w:rsidRPr="00D85612">
        <w:rPr>
          <w:rFonts w:ascii="Calibri Light" w:eastAsia="Times New Roman" w:hAnsi="Calibri Light" w:cs="Times New Roman"/>
          <w:color w:val="000000"/>
          <w:sz w:val="16"/>
          <w:szCs w:val="16"/>
        </w:rPr>
        <w:t>Blokker</w:t>
      </w:r>
      <w:proofErr w:type="spellEnd"/>
      <w:r w:rsidRPr="00D85612">
        <w:rPr>
          <w:rFonts w:ascii="Calibri Light" w:eastAsia="Times New Roman" w:hAnsi="Calibri Light" w:cs="Times New Roman"/>
          <w:color w:val="000000"/>
          <w:sz w:val="16"/>
          <w:szCs w:val="16"/>
        </w:rPr>
        <w:t>, “</w:t>
      </w:r>
      <w:proofErr w:type="spellStart"/>
      <w:r w:rsidRPr="00D85612">
        <w:rPr>
          <w:rFonts w:ascii="Calibri Light" w:eastAsia="Times New Roman" w:hAnsi="Calibri Light" w:cs="Times New Roman"/>
          <w:color w:val="000000"/>
          <w:sz w:val="16"/>
          <w:szCs w:val="16"/>
        </w:rPr>
        <w:t>Intenrational</w:t>
      </w:r>
      <w:proofErr w:type="spellEnd"/>
      <w:r w:rsidRPr="00D85612">
        <w:rPr>
          <w:rFonts w:ascii="Calibri Light" w:eastAsia="Times New Roman" w:hAnsi="Calibri Light" w:cs="Times New Roman"/>
          <w:color w:val="000000"/>
          <w:sz w:val="16"/>
          <w:szCs w:val="16"/>
        </w:rPr>
        <w:t xml:space="preserve"> Institutional Law”, (</w:t>
      </w:r>
      <w:proofErr w:type="gramStart"/>
      <w:r w:rsidRPr="00D85612">
        <w:rPr>
          <w:rFonts w:ascii="Calibri Light" w:eastAsia="Times New Roman" w:hAnsi="Calibri Light" w:cs="Times New Roman"/>
          <w:color w:val="000000"/>
          <w:sz w:val="16"/>
          <w:szCs w:val="16"/>
        </w:rPr>
        <w:t>4</w:t>
      </w:r>
      <w:r w:rsidRPr="00D85612">
        <w:rPr>
          <w:rFonts w:ascii="Calibri Light" w:eastAsia="Times New Roman" w:hAnsi="Calibri Light" w:cs="Times New Roman"/>
          <w:color w:val="000000"/>
          <w:sz w:val="11"/>
          <w:szCs w:val="11"/>
          <w:vertAlign w:val="superscript"/>
        </w:rPr>
        <w:t>th</w:t>
      </w:r>
      <w:proofErr w:type="gramEnd"/>
      <w:r w:rsidRPr="00D85612">
        <w:rPr>
          <w:rFonts w:ascii="Calibri Light" w:eastAsia="Times New Roman" w:hAnsi="Calibri Light" w:cs="Times New Roman"/>
          <w:color w:val="000000"/>
          <w:sz w:val="16"/>
          <w:szCs w:val="16"/>
        </w:rPr>
        <w:t xml:space="preserve"> rev. </w:t>
      </w:r>
      <w:proofErr w:type="spellStart"/>
      <w:r w:rsidRPr="00D85612">
        <w:rPr>
          <w:rFonts w:ascii="Calibri Light" w:eastAsia="Times New Roman" w:hAnsi="Calibri Light" w:cs="Times New Roman"/>
          <w:color w:val="000000"/>
          <w:sz w:val="16"/>
          <w:szCs w:val="16"/>
        </w:rPr>
        <w:t>ed</w:t>
      </w:r>
      <w:proofErr w:type="spellEnd"/>
      <w:r w:rsidRPr="00D85612">
        <w:rPr>
          <w:rFonts w:ascii="Calibri Light" w:eastAsia="Times New Roman" w:hAnsi="Calibri Light" w:cs="Times New Roman"/>
          <w:color w:val="000000"/>
          <w:sz w:val="16"/>
          <w:szCs w:val="16"/>
        </w:rPr>
        <w:t xml:space="preserve">, </w:t>
      </w:r>
      <w:proofErr w:type="spellStart"/>
      <w:r w:rsidRPr="00D85612">
        <w:rPr>
          <w:rFonts w:ascii="Calibri Light" w:eastAsia="Times New Roman" w:hAnsi="Calibri Light" w:cs="Times New Roman"/>
          <w:color w:val="000000"/>
          <w:sz w:val="16"/>
          <w:szCs w:val="16"/>
        </w:rPr>
        <w:t>Martinus</w:t>
      </w:r>
      <w:proofErr w:type="spellEnd"/>
      <w:r w:rsidRPr="00D85612">
        <w:rPr>
          <w:rFonts w:ascii="Calibri Light" w:eastAsia="Times New Roman" w:hAnsi="Calibri Light" w:cs="Times New Roman"/>
          <w:color w:val="000000"/>
          <w:sz w:val="16"/>
          <w:szCs w:val="16"/>
        </w:rPr>
        <w:t xml:space="preserve"> </w:t>
      </w:r>
      <w:proofErr w:type="spellStart"/>
      <w:r w:rsidRPr="00D85612">
        <w:rPr>
          <w:rFonts w:ascii="Calibri Light" w:eastAsia="Times New Roman" w:hAnsi="Calibri Light" w:cs="Times New Roman"/>
          <w:color w:val="000000"/>
          <w:sz w:val="16"/>
          <w:szCs w:val="16"/>
        </w:rPr>
        <w:t>Nijhoff</w:t>
      </w:r>
      <w:proofErr w:type="spellEnd"/>
      <w:r w:rsidRPr="00D85612">
        <w:rPr>
          <w:rFonts w:ascii="Calibri Light" w:eastAsia="Times New Roman" w:hAnsi="Calibri Light" w:cs="Times New Roman"/>
          <w:color w:val="000000"/>
          <w:sz w:val="16"/>
          <w:szCs w:val="16"/>
        </w:rPr>
        <w:t xml:space="preserve">, The Netherlands, 2003); J. </w:t>
      </w:r>
      <w:proofErr w:type="spellStart"/>
      <w:r w:rsidRPr="00D85612">
        <w:rPr>
          <w:rFonts w:ascii="Calibri Light" w:eastAsia="Times New Roman" w:hAnsi="Calibri Light" w:cs="Times New Roman"/>
          <w:color w:val="000000"/>
          <w:sz w:val="16"/>
          <w:szCs w:val="16"/>
        </w:rPr>
        <w:t>Klabber</w:t>
      </w:r>
      <w:proofErr w:type="spellEnd"/>
      <w:r w:rsidRPr="00D85612">
        <w:rPr>
          <w:rFonts w:ascii="Calibri Light" w:eastAsia="Times New Roman" w:hAnsi="Calibri Light" w:cs="Times New Roman"/>
          <w:color w:val="000000"/>
          <w:sz w:val="16"/>
          <w:szCs w:val="16"/>
        </w:rPr>
        <w:t>, “An Introduction to international Institutional Law” (Cambridge University Press, UK, 2002).</w:t>
      </w:r>
    </w:p>
    <w:bookmarkStart w:id="37" w:name="_ftn14"/>
    <w:bookmarkEnd w:id="37"/>
    <w:p w:rsidR="00D85612" w:rsidRPr="00D85612" w:rsidRDefault="00D85612" w:rsidP="00D85612">
      <w:pPr>
        <w:spacing w:after="0" w:line="240" w:lineRule="auto"/>
        <w:jc w:val="both"/>
        <w:rPr>
          <w:rFonts w:ascii="Times New Roman" w:eastAsia="Times New Roman" w:hAnsi="Times New Roman" w:cs="Times New Roman"/>
          <w:color w:val="000000"/>
          <w:sz w:val="27"/>
          <w:szCs w:val="27"/>
        </w:rPr>
      </w:pPr>
      <w:r w:rsidRPr="00D85612">
        <w:rPr>
          <w:rFonts w:ascii="Times New Roman" w:eastAsia="Times New Roman" w:hAnsi="Times New Roman" w:cs="Times New Roman"/>
          <w:color w:val="000000"/>
          <w:sz w:val="27"/>
          <w:szCs w:val="27"/>
        </w:rPr>
        <w:fldChar w:fldCharType="begin"/>
      </w:r>
      <w:r w:rsidRPr="00D85612">
        <w:rPr>
          <w:rFonts w:ascii="Times New Roman" w:eastAsia="Times New Roman" w:hAnsi="Times New Roman" w:cs="Times New Roman"/>
          <w:color w:val="000000"/>
          <w:sz w:val="27"/>
          <w:szCs w:val="27"/>
        </w:rPr>
        <w:instrText xml:space="preserve"> HYPERLINK "http://data.parliament.uk/writtenevidence/committeeevidence.svc/evidencedocument/environmental-audit-committee/sustainable-seas/written/83074.html" \l "_ftnref14" </w:instrText>
      </w:r>
      <w:r w:rsidRPr="00D85612">
        <w:rPr>
          <w:rFonts w:ascii="Times New Roman" w:eastAsia="Times New Roman" w:hAnsi="Times New Roman" w:cs="Times New Roman"/>
          <w:color w:val="000000"/>
          <w:sz w:val="27"/>
          <w:szCs w:val="27"/>
        </w:rPr>
        <w:fldChar w:fldCharType="separate"/>
      </w:r>
      <w:r w:rsidRPr="00D85612">
        <w:rPr>
          <w:rFonts w:ascii="Times New Roman" w:eastAsia="Times New Roman" w:hAnsi="Times New Roman" w:cs="Times New Roman"/>
          <w:color w:val="0000FF"/>
          <w:sz w:val="27"/>
          <w:szCs w:val="27"/>
          <w:u w:val="single"/>
        </w:rPr>
        <w:t>[14]</w:t>
      </w:r>
      <w:r w:rsidRPr="00D85612">
        <w:rPr>
          <w:rFonts w:ascii="Times New Roman" w:eastAsia="Times New Roman" w:hAnsi="Times New Roman" w:cs="Times New Roman"/>
          <w:color w:val="000000"/>
          <w:sz w:val="27"/>
          <w:szCs w:val="27"/>
        </w:rPr>
        <w:fldChar w:fldCharType="end"/>
      </w:r>
      <w:r w:rsidRPr="00D85612">
        <w:rPr>
          <w:rFonts w:ascii="Calibri Light" w:eastAsia="Times New Roman" w:hAnsi="Calibri Light" w:cs="Times New Roman"/>
          <w:color w:val="000000"/>
          <w:sz w:val="16"/>
          <w:szCs w:val="16"/>
        </w:rPr>
        <w:t xml:space="preserve"> N.D. White, </w:t>
      </w:r>
      <w:proofErr w:type="gramStart"/>
      <w:r w:rsidRPr="00D85612">
        <w:rPr>
          <w:rFonts w:ascii="Calibri Light" w:eastAsia="Times New Roman" w:hAnsi="Calibri Light" w:cs="Times New Roman"/>
          <w:color w:val="000000"/>
          <w:sz w:val="16"/>
          <w:szCs w:val="16"/>
        </w:rPr>
        <w:t>The</w:t>
      </w:r>
      <w:proofErr w:type="gramEnd"/>
      <w:r w:rsidRPr="00D85612">
        <w:rPr>
          <w:rFonts w:ascii="Calibri Light" w:eastAsia="Times New Roman" w:hAnsi="Calibri Light" w:cs="Times New Roman"/>
          <w:color w:val="000000"/>
          <w:sz w:val="16"/>
          <w:szCs w:val="16"/>
        </w:rPr>
        <w:t xml:space="preserve"> United Nations System: Toward International Justice (Lynne </w:t>
      </w:r>
      <w:proofErr w:type="spellStart"/>
      <w:r w:rsidRPr="00D85612">
        <w:rPr>
          <w:rFonts w:ascii="Calibri Light" w:eastAsia="Times New Roman" w:hAnsi="Calibri Light" w:cs="Times New Roman"/>
          <w:color w:val="000000"/>
          <w:sz w:val="16"/>
          <w:szCs w:val="16"/>
        </w:rPr>
        <w:t>Rienner</w:t>
      </w:r>
      <w:proofErr w:type="spellEnd"/>
      <w:r w:rsidRPr="00D85612">
        <w:rPr>
          <w:rFonts w:ascii="Calibri Light" w:eastAsia="Times New Roman" w:hAnsi="Calibri Light" w:cs="Times New Roman"/>
          <w:color w:val="000000"/>
          <w:sz w:val="16"/>
          <w:szCs w:val="16"/>
        </w:rPr>
        <w:t xml:space="preserve"> Publishers, London, 2002), pp. 32-33. See also N. </w:t>
      </w:r>
      <w:proofErr w:type="spellStart"/>
      <w:r w:rsidRPr="00D85612">
        <w:rPr>
          <w:rFonts w:ascii="Calibri Light" w:eastAsia="Times New Roman" w:hAnsi="Calibri Light" w:cs="Times New Roman"/>
          <w:color w:val="000000"/>
          <w:sz w:val="16"/>
          <w:szCs w:val="16"/>
        </w:rPr>
        <w:t>Shukalo</w:t>
      </w:r>
      <w:proofErr w:type="spellEnd"/>
      <w:r w:rsidRPr="00D85612">
        <w:rPr>
          <w:rFonts w:ascii="Calibri Light" w:eastAsia="Times New Roman" w:hAnsi="Calibri Light" w:cs="Times New Roman"/>
          <w:color w:val="000000"/>
          <w:sz w:val="16"/>
          <w:szCs w:val="16"/>
        </w:rPr>
        <w:t>, What is International Legal Personality and Why does it matter? (Fall Paper, University of Nicosia, 2011) pp. 2-3.</w:t>
      </w:r>
    </w:p>
    <w:bookmarkStart w:id="38" w:name="_ftn15"/>
    <w:bookmarkEnd w:id="38"/>
    <w:p w:rsidR="00D85612" w:rsidRPr="00D85612" w:rsidRDefault="00D85612" w:rsidP="00D85612">
      <w:pPr>
        <w:spacing w:after="0" w:line="240" w:lineRule="auto"/>
        <w:jc w:val="both"/>
        <w:rPr>
          <w:rFonts w:ascii="Times New Roman" w:eastAsia="Times New Roman" w:hAnsi="Times New Roman" w:cs="Times New Roman"/>
          <w:color w:val="000000"/>
          <w:sz w:val="27"/>
          <w:szCs w:val="27"/>
        </w:rPr>
      </w:pPr>
      <w:r w:rsidRPr="00D85612">
        <w:rPr>
          <w:rFonts w:ascii="Times New Roman" w:eastAsia="Times New Roman" w:hAnsi="Times New Roman" w:cs="Times New Roman"/>
          <w:color w:val="000000"/>
          <w:sz w:val="27"/>
          <w:szCs w:val="27"/>
        </w:rPr>
        <w:fldChar w:fldCharType="begin"/>
      </w:r>
      <w:r w:rsidRPr="00D85612">
        <w:rPr>
          <w:rFonts w:ascii="Times New Roman" w:eastAsia="Times New Roman" w:hAnsi="Times New Roman" w:cs="Times New Roman"/>
          <w:color w:val="000000"/>
          <w:sz w:val="27"/>
          <w:szCs w:val="27"/>
        </w:rPr>
        <w:instrText xml:space="preserve"> HYPERLINK "http://data.parliament.uk/writtenevidence/committeeevidence.svc/evidencedocument/environmental-audit-committee/sustainable-seas/written/83074.html" \l "_ftnref15" </w:instrText>
      </w:r>
      <w:r w:rsidRPr="00D85612">
        <w:rPr>
          <w:rFonts w:ascii="Times New Roman" w:eastAsia="Times New Roman" w:hAnsi="Times New Roman" w:cs="Times New Roman"/>
          <w:color w:val="000000"/>
          <w:sz w:val="27"/>
          <w:szCs w:val="27"/>
        </w:rPr>
        <w:fldChar w:fldCharType="separate"/>
      </w:r>
      <w:r w:rsidRPr="00D85612">
        <w:rPr>
          <w:rFonts w:ascii="Times New Roman" w:eastAsia="Times New Roman" w:hAnsi="Times New Roman" w:cs="Times New Roman"/>
          <w:color w:val="0000FF"/>
          <w:sz w:val="27"/>
          <w:szCs w:val="27"/>
          <w:u w:val="single"/>
        </w:rPr>
        <w:t>[15]</w:t>
      </w:r>
      <w:r w:rsidRPr="00D85612">
        <w:rPr>
          <w:rFonts w:ascii="Times New Roman" w:eastAsia="Times New Roman" w:hAnsi="Times New Roman" w:cs="Times New Roman"/>
          <w:color w:val="000000"/>
          <w:sz w:val="27"/>
          <w:szCs w:val="27"/>
        </w:rPr>
        <w:fldChar w:fldCharType="end"/>
      </w:r>
      <w:r w:rsidRPr="00D85612">
        <w:rPr>
          <w:rFonts w:ascii="Calibri Light" w:eastAsia="Times New Roman" w:hAnsi="Calibri Light" w:cs="Times New Roman"/>
          <w:color w:val="000000"/>
          <w:sz w:val="16"/>
          <w:szCs w:val="16"/>
        </w:rPr>
        <w:t xml:space="preserve"> F. </w:t>
      </w:r>
      <w:proofErr w:type="spellStart"/>
      <w:r w:rsidRPr="00D85612">
        <w:rPr>
          <w:rFonts w:ascii="Calibri Light" w:eastAsia="Times New Roman" w:hAnsi="Calibri Light" w:cs="Times New Roman"/>
          <w:color w:val="000000"/>
          <w:sz w:val="16"/>
          <w:szCs w:val="16"/>
        </w:rPr>
        <w:t>Fabulas</w:t>
      </w:r>
      <w:proofErr w:type="spellEnd"/>
      <w:r w:rsidRPr="00D85612">
        <w:rPr>
          <w:rFonts w:ascii="Calibri Light" w:eastAsia="Times New Roman" w:hAnsi="Calibri Light" w:cs="Times New Roman"/>
          <w:color w:val="000000"/>
          <w:sz w:val="16"/>
          <w:szCs w:val="16"/>
        </w:rPr>
        <w:t xml:space="preserve">, D. Snidal, ‘Organizations without delegation: Informal intergovernmental organizations (IIGOs) and the spectrum of intergovernmental arrangements’ (2013) </w:t>
      </w:r>
      <w:proofErr w:type="gramStart"/>
      <w:r w:rsidRPr="00D85612">
        <w:rPr>
          <w:rFonts w:ascii="Calibri Light" w:eastAsia="Times New Roman" w:hAnsi="Calibri Light" w:cs="Times New Roman"/>
          <w:color w:val="000000"/>
          <w:sz w:val="16"/>
          <w:szCs w:val="16"/>
        </w:rPr>
        <w:t>8</w:t>
      </w:r>
      <w:proofErr w:type="gramEnd"/>
      <w:r w:rsidRPr="00D85612">
        <w:rPr>
          <w:rFonts w:ascii="Calibri Light" w:eastAsia="Times New Roman" w:hAnsi="Calibri Light" w:cs="Times New Roman"/>
          <w:color w:val="000000"/>
          <w:sz w:val="16"/>
          <w:szCs w:val="16"/>
        </w:rPr>
        <w:t> </w:t>
      </w:r>
      <w:r w:rsidRPr="00D85612">
        <w:rPr>
          <w:rFonts w:ascii="Calibri Light" w:eastAsia="Times New Roman" w:hAnsi="Calibri Light" w:cs="Times New Roman"/>
          <w:i/>
          <w:iCs/>
          <w:color w:val="000000"/>
          <w:sz w:val="16"/>
          <w:szCs w:val="16"/>
        </w:rPr>
        <w:t>Review of International Organization</w:t>
      </w:r>
      <w:r w:rsidRPr="00D85612">
        <w:rPr>
          <w:rFonts w:ascii="Calibri Light" w:eastAsia="Times New Roman" w:hAnsi="Calibri Light" w:cs="Times New Roman"/>
          <w:color w:val="000000"/>
          <w:sz w:val="16"/>
          <w:szCs w:val="16"/>
        </w:rPr>
        <w:t> 193-220 at 197.</w:t>
      </w:r>
    </w:p>
    <w:bookmarkStart w:id="39" w:name="_ftn16"/>
    <w:bookmarkEnd w:id="39"/>
    <w:p w:rsidR="00D85612" w:rsidRPr="00D85612" w:rsidRDefault="00D85612" w:rsidP="00D85612">
      <w:pPr>
        <w:spacing w:after="0" w:line="240" w:lineRule="auto"/>
        <w:jc w:val="both"/>
        <w:rPr>
          <w:rFonts w:ascii="Times New Roman" w:eastAsia="Times New Roman" w:hAnsi="Times New Roman" w:cs="Times New Roman"/>
          <w:color w:val="000000"/>
          <w:sz w:val="27"/>
          <w:szCs w:val="27"/>
        </w:rPr>
      </w:pPr>
      <w:r w:rsidRPr="00D85612">
        <w:rPr>
          <w:rFonts w:ascii="Times New Roman" w:eastAsia="Times New Roman" w:hAnsi="Times New Roman" w:cs="Times New Roman"/>
          <w:color w:val="000000"/>
          <w:sz w:val="27"/>
          <w:szCs w:val="27"/>
        </w:rPr>
        <w:fldChar w:fldCharType="begin"/>
      </w:r>
      <w:r w:rsidRPr="00D85612">
        <w:rPr>
          <w:rFonts w:ascii="Times New Roman" w:eastAsia="Times New Roman" w:hAnsi="Times New Roman" w:cs="Times New Roman"/>
          <w:color w:val="000000"/>
          <w:sz w:val="27"/>
          <w:szCs w:val="27"/>
        </w:rPr>
        <w:instrText xml:space="preserve"> HYPERLINK "http://data.parliament.uk/writtenevidence/committeeevidence.svc/evidencedocument/environmental-audit-committee/sustainable-seas/written/83074.html" \l "_ftnref16" </w:instrText>
      </w:r>
      <w:r w:rsidRPr="00D85612">
        <w:rPr>
          <w:rFonts w:ascii="Times New Roman" w:eastAsia="Times New Roman" w:hAnsi="Times New Roman" w:cs="Times New Roman"/>
          <w:color w:val="000000"/>
          <w:sz w:val="27"/>
          <w:szCs w:val="27"/>
        </w:rPr>
        <w:fldChar w:fldCharType="separate"/>
      </w:r>
      <w:r w:rsidRPr="00D85612">
        <w:rPr>
          <w:rFonts w:ascii="Times New Roman" w:eastAsia="Times New Roman" w:hAnsi="Times New Roman" w:cs="Times New Roman"/>
          <w:color w:val="0000FF"/>
          <w:sz w:val="27"/>
          <w:szCs w:val="27"/>
          <w:u w:val="single"/>
        </w:rPr>
        <w:t>[16]</w:t>
      </w:r>
      <w:r w:rsidRPr="00D85612">
        <w:rPr>
          <w:rFonts w:ascii="Times New Roman" w:eastAsia="Times New Roman" w:hAnsi="Times New Roman" w:cs="Times New Roman"/>
          <w:color w:val="000000"/>
          <w:sz w:val="27"/>
          <w:szCs w:val="27"/>
        </w:rPr>
        <w:fldChar w:fldCharType="end"/>
      </w:r>
      <w:r w:rsidRPr="00D85612">
        <w:rPr>
          <w:rFonts w:ascii="Calibri Light" w:eastAsia="Times New Roman" w:hAnsi="Calibri Light" w:cs="Times New Roman"/>
          <w:color w:val="000000"/>
          <w:sz w:val="16"/>
          <w:szCs w:val="16"/>
        </w:rPr>
        <w:t> </w:t>
      </w:r>
      <w:proofErr w:type="spellStart"/>
      <w:r w:rsidRPr="00D85612">
        <w:rPr>
          <w:rFonts w:ascii="Calibri Light" w:eastAsia="Times New Roman" w:hAnsi="Calibri Light" w:cs="Times New Roman"/>
          <w:i/>
          <w:iCs/>
          <w:color w:val="000000"/>
          <w:sz w:val="16"/>
          <w:szCs w:val="16"/>
        </w:rPr>
        <w:t>Ibidem</w:t>
      </w:r>
      <w:proofErr w:type="spellEnd"/>
      <w:r w:rsidRPr="00D85612">
        <w:rPr>
          <w:rFonts w:ascii="Calibri Light" w:eastAsia="Times New Roman" w:hAnsi="Calibri Light" w:cs="Times New Roman"/>
          <w:color w:val="000000"/>
          <w:sz w:val="16"/>
          <w:szCs w:val="16"/>
        </w:rPr>
        <w:t>.</w:t>
      </w:r>
    </w:p>
    <w:bookmarkStart w:id="40" w:name="_ftn17"/>
    <w:bookmarkEnd w:id="40"/>
    <w:p w:rsidR="00D85612" w:rsidRPr="00D85612" w:rsidRDefault="00D85612" w:rsidP="00D85612">
      <w:pPr>
        <w:spacing w:after="0" w:line="240" w:lineRule="auto"/>
        <w:jc w:val="both"/>
        <w:rPr>
          <w:rFonts w:ascii="Times New Roman" w:eastAsia="Times New Roman" w:hAnsi="Times New Roman" w:cs="Times New Roman"/>
          <w:color w:val="000000"/>
          <w:sz w:val="27"/>
          <w:szCs w:val="27"/>
        </w:rPr>
      </w:pPr>
      <w:r w:rsidRPr="00D85612">
        <w:rPr>
          <w:rFonts w:ascii="Times New Roman" w:eastAsia="Times New Roman" w:hAnsi="Times New Roman" w:cs="Times New Roman"/>
          <w:color w:val="000000"/>
          <w:sz w:val="27"/>
          <w:szCs w:val="27"/>
        </w:rPr>
        <w:fldChar w:fldCharType="begin"/>
      </w:r>
      <w:r w:rsidRPr="00D85612">
        <w:rPr>
          <w:rFonts w:ascii="Times New Roman" w:eastAsia="Times New Roman" w:hAnsi="Times New Roman" w:cs="Times New Roman"/>
          <w:color w:val="000000"/>
          <w:sz w:val="27"/>
          <w:szCs w:val="27"/>
        </w:rPr>
        <w:instrText xml:space="preserve"> HYPERLINK "http://data.parliament.uk/writtenevidence/committeeevidence.svc/evidencedocument/environmental-audit-committee/sustainable-seas/written/83074.html" \l "_ftnref17" </w:instrText>
      </w:r>
      <w:r w:rsidRPr="00D85612">
        <w:rPr>
          <w:rFonts w:ascii="Times New Roman" w:eastAsia="Times New Roman" w:hAnsi="Times New Roman" w:cs="Times New Roman"/>
          <w:color w:val="000000"/>
          <w:sz w:val="27"/>
          <w:szCs w:val="27"/>
        </w:rPr>
        <w:fldChar w:fldCharType="separate"/>
      </w:r>
      <w:r w:rsidRPr="00D85612">
        <w:rPr>
          <w:rFonts w:ascii="Times New Roman" w:eastAsia="Times New Roman" w:hAnsi="Times New Roman" w:cs="Times New Roman"/>
          <w:color w:val="0000FF"/>
          <w:sz w:val="27"/>
          <w:szCs w:val="27"/>
          <w:u w:val="single"/>
        </w:rPr>
        <w:t>[17]</w:t>
      </w:r>
      <w:r w:rsidRPr="00D85612">
        <w:rPr>
          <w:rFonts w:ascii="Times New Roman" w:eastAsia="Times New Roman" w:hAnsi="Times New Roman" w:cs="Times New Roman"/>
          <w:color w:val="000000"/>
          <w:sz w:val="27"/>
          <w:szCs w:val="27"/>
        </w:rPr>
        <w:fldChar w:fldCharType="end"/>
      </w:r>
      <w:r w:rsidRPr="00D85612">
        <w:rPr>
          <w:rFonts w:ascii="Calibri Light" w:eastAsia="Times New Roman" w:hAnsi="Calibri Light" w:cs="Times New Roman"/>
          <w:color w:val="000000"/>
          <w:sz w:val="16"/>
          <w:szCs w:val="16"/>
        </w:rPr>
        <w:t xml:space="preserve"> Hamilton Declaration, paragraphs </w:t>
      </w:r>
      <w:proofErr w:type="gramStart"/>
      <w:r w:rsidRPr="00D85612">
        <w:rPr>
          <w:rFonts w:ascii="Calibri Light" w:eastAsia="Times New Roman" w:hAnsi="Calibri Light" w:cs="Times New Roman"/>
          <w:color w:val="000000"/>
          <w:sz w:val="16"/>
          <w:szCs w:val="16"/>
        </w:rPr>
        <w:t>1</w:t>
      </w:r>
      <w:proofErr w:type="gramEnd"/>
      <w:r w:rsidRPr="00D85612">
        <w:rPr>
          <w:rFonts w:ascii="Calibri Light" w:eastAsia="Times New Roman" w:hAnsi="Calibri Light" w:cs="Times New Roman"/>
          <w:color w:val="000000"/>
          <w:sz w:val="16"/>
          <w:szCs w:val="16"/>
        </w:rPr>
        <w:t>, 2 and 3.</w:t>
      </w:r>
    </w:p>
    <w:bookmarkStart w:id="41" w:name="_ftn18"/>
    <w:bookmarkEnd w:id="41"/>
    <w:p w:rsidR="00D85612" w:rsidRPr="00D85612" w:rsidRDefault="00D85612" w:rsidP="00D85612">
      <w:pPr>
        <w:spacing w:after="0" w:line="240" w:lineRule="auto"/>
        <w:jc w:val="both"/>
        <w:rPr>
          <w:rFonts w:ascii="Times New Roman" w:eastAsia="Times New Roman" w:hAnsi="Times New Roman" w:cs="Times New Roman"/>
          <w:color w:val="000000"/>
          <w:sz w:val="27"/>
          <w:szCs w:val="27"/>
        </w:rPr>
      </w:pPr>
      <w:r w:rsidRPr="00D85612">
        <w:rPr>
          <w:rFonts w:ascii="Times New Roman" w:eastAsia="Times New Roman" w:hAnsi="Times New Roman" w:cs="Times New Roman"/>
          <w:color w:val="000000"/>
          <w:sz w:val="27"/>
          <w:szCs w:val="27"/>
        </w:rPr>
        <w:fldChar w:fldCharType="begin"/>
      </w:r>
      <w:r w:rsidRPr="00D85612">
        <w:rPr>
          <w:rFonts w:ascii="Times New Roman" w:eastAsia="Times New Roman" w:hAnsi="Times New Roman" w:cs="Times New Roman"/>
          <w:color w:val="000000"/>
          <w:sz w:val="27"/>
          <w:szCs w:val="27"/>
        </w:rPr>
        <w:instrText xml:space="preserve"> HYPERLINK "http://data.parliament.uk/writtenevidence/committeeevidence.svc/evidencedocument/environmental-audit-committee/sustainable-seas/written/83074.html" \l "_ftnref18" </w:instrText>
      </w:r>
      <w:r w:rsidRPr="00D85612">
        <w:rPr>
          <w:rFonts w:ascii="Times New Roman" w:eastAsia="Times New Roman" w:hAnsi="Times New Roman" w:cs="Times New Roman"/>
          <w:color w:val="000000"/>
          <w:sz w:val="27"/>
          <w:szCs w:val="27"/>
        </w:rPr>
        <w:fldChar w:fldCharType="separate"/>
      </w:r>
      <w:r w:rsidRPr="00D85612">
        <w:rPr>
          <w:rFonts w:ascii="Times New Roman" w:eastAsia="Times New Roman" w:hAnsi="Times New Roman" w:cs="Times New Roman"/>
          <w:color w:val="0000FF"/>
          <w:sz w:val="27"/>
          <w:szCs w:val="27"/>
          <w:u w:val="single"/>
        </w:rPr>
        <w:t>[18]</w:t>
      </w:r>
      <w:r w:rsidRPr="00D85612">
        <w:rPr>
          <w:rFonts w:ascii="Times New Roman" w:eastAsia="Times New Roman" w:hAnsi="Times New Roman" w:cs="Times New Roman"/>
          <w:color w:val="000000"/>
          <w:sz w:val="27"/>
          <w:szCs w:val="27"/>
        </w:rPr>
        <w:fldChar w:fldCharType="end"/>
      </w:r>
      <w:r w:rsidRPr="00D85612">
        <w:rPr>
          <w:rFonts w:ascii="Calibri Light" w:eastAsia="Times New Roman" w:hAnsi="Calibri Light" w:cs="Times New Roman"/>
          <w:color w:val="000000"/>
          <w:sz w:val="16"/>
          <w:szCs w:val="16"/>
        </w:rPr>
        <w:t> Hamilton Declaration, paragraph 5.</w:t>
      </w:r>
    </w:p>
    <w:bookmarkStart w:id="42" w:name="_ftn19"/>
    <w:bookmarkEnd w:id="42"/>
    <w:p w:rsidR="00D85612" w:rsidRPr="00D85612" w:rsidRDefault="00D85612" w:rsidP="00D85612">
      <w:pPr>
        <w:spacing w:after="0" w:line="240" w:lineRule="auto"/>
        <w:jc w:val="both"/>
        <w:rPr>
          <w:rFonts w:ascii="Times New Roman" w:eastAsia="Times New Roman" w:hAnsi="Times New Roman" w:cs="Times New Roman"/>
          <w:color w:val="000000"/>
          <w:sz w:val="27"/>
          <w:szCs w:val="27"/>
        </w:rPr>
      </w:pPr>
      <w:r w:rsidRPr="00D85612">
        <w:rPr>
          <w:rFonts w:ascii="Times New Roman" w:eastAsia="Times New Roman" w:hAnsi="Times New Roman" w:cs="Times New Roman"/>
          <w:color w:val="000000"/>
          <w:sz w:val="27"/>
          <w:szCs w:val="27"/>
        </w:rPr>
        <w:fldChar w:fldCharType="begin"/>
      </w:r>
      <w:r w:rsidRPr="00D85612">
        <w:rPr>
          <w:rFonts w:ascii="Times New Roman" w:eastAsia="Times New Roman" w:hAnsi="Times New Roman" w:cs="Times New Roman"/>
          <w:color w:val="000000"/>
          <w:sz w:val="27"/>
          <w:szCs w:val="27"/>
        </w:rPr>
        <w:instrText xml:space="preserve"> HYPERLINK "http://data.parliament.uk/writtenevidence/committeeevidence.svc/evidencedocument/environmental-audit-committee/sustainable-seas/written/83074.html" \l "_ftnref19" </w:instrText>
      </w:r>
      <w:r w:rsidRPr="00D85612">
        <w:rPr>
          <w:rFonts w:ascii="Times New Roman" w:eastAsia="Times New Roman" w:hAnsi="Times New Roman" w:cs="Times New Roman"/>
          <w:color w:val="000000"/>
          <w:sz w:val="27"/>
          <w:szCs w:val="27"/>
        </w:rPr>
        <w:fldChar w:fldCharType="separate"/>
      </w:r>
      <w:r w:rsidRPr="00D85612">
        <w:rPr>
          <w:rFonts w:ascii="Times New Roman" w:eastAsia="Times New Roman" w:hAnsi="Times New Roman" w:cs="Times New Roman"/>
          <w:color w:val="0000FF"/>
          <w:sz w:val="27"/>
          <w:szCs w:val="27"/>
          <w:u w:val="single"/>
        </w:rPr>
        <w:t>[19]</w:t>
      </w:r>
      <w:r w:rsidRPr="00D85612">
        <w:rPr>
          <w:rFonts w:ascii="Times New Roman" w:eastAsia="Times New Roman" w:hAnsi="Times New Roman" w:cs="Times New Roman"/>
          <w:color w:val="000000"/>
          <w:sz w:val="27"/>
          <w:szCs w:val="27"/>
        </w:rPr>
        <w:fldChar w:fldCharType="end"/>
      </w:r>
      <w:r w:rsidRPr="00D85612">
        <w:rPr>
          <w:rFonts w:ascii="Calibri Light" w:eastAsia="Times New Roman" w:hAnsi="Calibri Light" w:cs="Times New Roman"/>
          <w:color w:val="000000"/>
          <w:sz w:val="16"/>
          <w:szCs w:val="16"/>
        </w:rPr>
        <w:t xml:space="preserve"> F. </w:t>
      </w:r>
      <w:proofErr w:type="spellStart"/>
      <w:r w:rsidRPr="00D85612">
        <w:rPr>
          <w:rFonts w:ascii="Calibri Light" w:eastAsia="Times New Roman" w:hAnsi="Calibri Light" w:cs="Times New Roman"/>
          <w:color w:val="000000"/>
          <w:sz w:val="16"/>
          <w:szCs w:val="16"/>
        </w:rPr>
        <w:t>Fabulas</w:t>
      </w:r>
      <w:proofErr w:type="spellEnd"/>
      <w:r w:rsidRPr="00D85612">
        <w:rPr>
          <w:rFonts w:ascii="Calibri Light" w:eastAsia="Times New Roman" w:hAnsi="Calibri Light" w:cs="Times New Roman"/>
          <w:color w:val="000000"/>
          <w:sz w:val="16"/>
          <w:szCs w:val="16"/>
        </w:rPr>
        <w:t>, D. Snidal, </w:t>
      </w:r>
      <w:r w:rsidRPr="00D85612">
        <w:rPr>
          <w:rFonts w:ascii="Calibri Light" w:eastAsia="Times New Roman" w:hAnsi="Calibri Light" w:cs="Times New Roman"/>
          <w:i/>
          <w:iCs/>
          <w:color w:val="000000"/>
          <w:sz w:val="16"/>
          <w:szCs w:val="16"/>
        </w:rPr>
        <w:t>op. cit</w:t>
      </w:r>
      <w:r w:rsidRPr="00D85612">
        <w:rPr>
          <w:rFonts w:ascii="Calibri Light" w:eastAsia="Times New Roman" w:hAnsi="Calibri Light" w:cs="Times New Roman"/>
          <w:color w:val="000000"/>
          <w:sz w:val="16"/>
          <w:szCs w:val="16"/>
        </w:rPr>
        <w:t>., pp. 209-210.</w:t>
      </w:r>
    </w:p>
    <w:bookmarkStart w:id="43" w:name="_ftn20"/>
    <w:bookmarkEnd w:id="43"/>
    <w:p w:rsidR="00D85612" w:rsidRPr="00D85612" w:rsidRDefault="00D85612" w:rsidP="00D85612">
      <w:pPr>
        <w:spacing w:after="0" w:line="240" w:lineRule="auto"/>
        <w:jc w:val="both"/>
        <w:rPr>
          <w:rFonts w:ascii="Times New Roman" w:eastAsia="Times New Roman" w:hAnsi="Times New Roman" w:cs="Times New Roman"/>
          <w:color w:val="000000"/>
          <w:sz w:val="27"/>
          <w:szCs w:val="27"/>
        </w:rPr>
      </w:pPr>
      <w:r w:rsidRPr="00D85612">
        <w:rPr>
          <w:rFonts w:ascii="Times New Roman" w:eastAsia="Times New Roman" w:hAnsi="Times New Roman" w:cs="Times New Roman"/>
          <w:color w:val="000000"/>
          <w:sz w:val="27"/>
          <w:szCs w:val="27"/>
        </w:rPr>
        <w:fldChar w:fldCharType="begin"/>
      </w:r>
      <w:r w:rsidRPr="00D85612">
        <w:rPr>
          <w:rFonts w:ascii="Times New Roman" w:eastAsia="Times New Roman" w:hAnsi="Times New Roman" w:cs="Times New Roman"/>
          <w:color w:val="000000"/>
          <w:sz w:val="27"/>
          <w:szCs w:val="27"/>
        </w:rPr>
        <w:instrText xml:space="preserve"> HYPERLINK "http://data.parliament.uk/writtenevidence/committeeevidence.svc/evidencedocument/environmental-audit-committee/sustainable-seas/written/83074.html" \l "_ftnref20" </w:instrText>
      </w:r>
      <w:r w:rsidRPr="00D85612">
        <w:rPr>
          <w:rFonts w:ascii="Times New Roman" w:eastAsia="Times New Roman" w:hAnsi="Times New Roman" w:cs="Times New Roman"/>
          <w:color w:val="000000"/>
          <w:sz w:val="27"/>
          <w:szCs w:val="27"/>
        </w:rPr>
        <w:fldChar w:fldCharType="separate"/>
      </w:r>
      <w:r w:rsidRPr="00D85612">
        <w:rPr>
          <w:rFonts w:ascii="Times New Roman" w:eastAsia="Times New Roman" w:hAnsi="Times New Roman" w:cs="Times New Roman"/>
          <w:color w:val="0000FF"/>
          <w:sz w:val="27"/>
          <w:szCs w:val="27"/>
          <w:u w:val="single"/>
        </w:rPr>
        <w:t>[20]</w:t>
      </w:r>
      <w:r w:rsidRPr="00D85612">
        <w:rPr>
          <w:rFonts w:ascii="Times New Roman" w:eastAsia="Times New Roman" w:hAnsi="Times New Roman" w:cs="Times New Roman"/>
          <w:color w:val="000000"/>
          <w:sz w:val="27"/>
          <w:szCs w:val="27"/>
        </w:rPr>
        <w:fldChar w:fldCharType="end"/>
      </w:r>
      <w:r w:rsidRPr="00D85612">
        <w:rPr>
          <w:rFonts w:ascii="Calibri Light" w:eastAsia="Times New Roman" w:hAnsi="Calibri Light" w:cs="Times New Roman"/>
          <w:color w:val="000000"/>
          <w:sz w:val="16"/>
          <w:szCs w:val="16"/>
        </w:rPr>
        <w:t> Hamilton Declaration, paragraph 7.</w:t>
      </w:r>
    </w:p>
    <w:bookmarkStart w:id="44" w:name="_ftn21"/>
    <w:bookmarkEnd w:id="44"/>
    <w:p w:rsidR="00D85612" w:rsidRPr="00D85612" w:rsidRDefault="00D85612" w:rsidP="00D85612">
      <w:pPr>
        <w:spacing w:after="0" w:line="240" w:lineRule="auto"/>
        <w:jc w:val="both"/>
        <w:rPr>
          <w:rFonts w:ascii="Times New Roman" w:eastAsia="Times New Roman" w:hAnsi="Times New Roman" w:cs="Times New Roman"/>
          <w:color w:val="000000"/>
          <w:sz w:val="27"/>
          <w:szCs w:val="27"/>
        </w:rPr>
      </w:pPr>
      <w:r w:rsidRPr="00D85612">
        <w:rPr>
          <w:rFonts w:ascii="Times New Roman" w:eastAsia="Times New Roman" w:hAnsi="Times New Roman" w:cs="Times New Roman"/>
          <w:color w:val="000000"/>
          <w:sz w:val="27"/>
          <w:szCs w:val="27"/>
        </w:rPr>
        <w:fldChar w:fldCharType="begin"/>
      </w:r>
      <w:r w:rsidRPr="00D85612">
        <w:rPr>
          <w:rFonts w:ascii="Times New Roman" w:eastAsia="Times New Roman" w:hAnsi="Times New Roman" w:cs="Times New Roman"/>
          <w:color w:val="000000"/>
          <w:sz w:val="27"/>
          <w:szCs w:val="27"/>
        </w:rPr>
        <w:instrText xml:space="preserve"> HYPERLINK "http://data.parliament.uk/writtenevidence/committeeevidence.svc/evidencedocument/environmental-audit-committee/sustainable-seas/written/83074.html" \l "_ftnref21" </w:instrText>
      </w:r>
      <w:r w:rsidRPr="00D85612">
        <w:rPr>
          <w:rFonts w:ascii="Times New Roman" w:eastAsia="Times New Roman" w:hAnsi="Times New Roman" w:cs="Times New Roman"/>
          <w:color w:val="000000"/>
          <w:sz w:val="27"/>
          <w:szCs w:val="27"/>
        </w:rPr>
        <w:fldChar w:fldCharType="separate"/>
      </w:r>
      <w:r w:rsidRPr="00D85612">
        <w:rPr>
          <w:rFonts w:ascii="Times New Roman" w:eastAsia="Times New Roman" w:hAnsi="Times New Roman" w:cs="Times New Roman"/>
          <w:color w:val="0000FF"/>
          <w:sz w:val="27"/>
          <w:szCs w:val="27"/>
          <w:u w:val="single"/>
        </w:rPr>
        <w:t>[21]</w:t>
      </w:r>
      <w:r w:rsidRPr="00D85612">
        <w:rPr>
          <w:rFonts w:ascii="Times New Roman" w:eastAsia="Times New Roman" w:hAnsi="Times New Roman" w:cs="Times New Roman"/>
          <w:color w:val="000000"/>
          <w:sz w:val="27"/>
          <w:szCs w:val="27"/>
        </w:rPr>
        <w:fldChar w:fldCharType="end"/>
      </w:r>
      <w:r w:rsidRPr="00D85612">
        <w:rPr>
          <w:rFonts w:ascii="Calibri Light" w:eastAsia="Times New Roman" w:hAnsi="Calibri Light" w:cs="Times New Roman"/>
          <w:color w:val="000000"/>
          <w:sz w:val="16"/>
          <w:szCs w:val="16"/>
        </w:rPr>
        <w:t xml:space="preserve"> Hamilton Declaration, Annex II, </w:t>
      </w:r>
      <w:proofErr w:type="spellStart"/>
      <w:r w:rsidRPr="00D85612">
        <w:rPr>
          <w:rFonts w:ascii="Calibri Light" w:eastAsia="Times New Roman" w:hAnsi="Calibri Light" w:cs="Times New Roman"/>
          <w:color w:val="000000"/>
          <w:sz w:val="16"/>
          <w:szCs w:val="16"/>
        </w:rPr>
        <w:t>i</w:t>
      </w:r>
      <w:proofErr w:type="spellEnd"/>
      <w:r w:rsidRPr="00D85612">
        <w:rPr>
          <w:rFonts w:ascii="Calibri Light" w:eastAsia="Times New Roman" w:hAnsi="Calibri Light" w:cs="Times New Roman"/>
          <w:color w:val="000000"/>
          <w:sz w:val="16"/>
          <w:szCs w:val="16"/>
        </w:rPr>
        <w:t>.</w:t>
      </w:r>
    </w:p>
    <w:bookmarkStart w:id="45" w:name="_ftn22"/>
    <w:bookmarkEnd w:id="45"/>
    <w:p w:rsidR="00D85612" w:rsidRPr="00D85612" w:rsidRDefault="00D85612" w:rsidP="00D85612">
      <w:pPr>
        <w:spacing w:after="0" w:line="240" w:lineRule="auto"/>
        <w:jc w:val="both"/>
        <w:rPr>
          <w:rFonts w:ascii="Times New Roman" w:eastAsia="Times New Roman" w:hAnsi="Times New Roman" w:cs="Times New Roman"/>
          <w:color w:val="000000"/>
          <w:sz w:val="27"/>
          <w:szCs w:val="27"/>
        </w:rPr>
      </w:pPr>
      <w:r w:rsidRPr="00D85612">
        <w:rPr>
          <w:rFonts w:ascii="Times New Roman" w:eastAsia="Times New Roman" w:hAnsi="Times New Roman" w:cs="Times New Roman"/>
          <w:color w:val="000000"/>
          <w:sz w:val="27"/>
          <w:szCs w:val="27"/>
        </w:rPr>
        <w:fldChar w:fldCharType="begin"/>
      </w:r>
      <w:r w:rsidRPr="00D85612">
        <w:rPr>
          <w:rFonts w:ascii="Times New Roman" w:eastAsia="Times New Roman" w:hAnsi="Times New Roman" w:cs="Times New Roman"/>
          <w:color w:val="000000"/>
          <w:sz w:val="27"/>
          <w:szCs w:val="27"/>
        </w:rPr>
        <w:instrText xml:space="preserve"> HYPERLINK "http://data.parliament.uk/writtenevidence/committeeevidence.svc/evidencedocument/environmental-audit-committee/sustainable-seas/written/83074.html" \l "_ftnref22" </w:instrText>
      </w:r>
      <w:r w:rsidRPr="00D85612">
        <w:rPr>
          <w:rFonts w:ascii="Times New Roman" w:eastAsia="Times New Roman" w:hAnsi="Times New Roman" w:cs="Times New Roman"/>
          <w:color w:val="000000"/>
          <w:sz w:val="27"/>
          <w:szCs w:val="27"/>
        </w:rPr>
        <w:fldChar w:fldCharType="separate"/>
      </w:r>
      <w:r w:rsidRPr="00D85612">
        <w:rPr>
          <w:rFonts w:ascii="Times New Roman" w:eastAsia="Times New Roman" w:hAnsi="Times New Roman" w:cs="Times New Roman"/>
          <w:color w:val="0000FF"/>
          <w:sz w:val="27"/>
          <w:szCs w:val="27"/>
          <w:u w:val="single"/>
        </w:rPr>
        <w:t>[22]</w:t>
      </w:r>
      <w:r w:rsidRPr="00D85612">
        <w:rPr>
          <w:rFonts w:ascii="Times New Roman" w:eastAsia="Times New Roman" w:hAnsi="Times New Roman" w:cs="Times New Roman"/>
          <w:color w:val="000000"/>
          <w:sz w:val="27"/>
          <w:szCs w:val="27"/>
        </w:rPr>
        <w:fldChar w:fldCharType="end"/>
      </w:r>
      <w:r w:rsidRPr="00D85612">
        <w:rPr>
          <w:rFonts w:ascii="Calibri Light" w:eastAsia="Times New Roman" w:hAnsi="Calibri Light" w:cs="Times New Roman"/>
          <w:color w:val="000000"/>
          <w:sz w:val="16"/>
          <w:szCs w:val="16"/>
        </w:rPr>
        <w:t xml:space="preserve"> F. </w:t>
      </w:r>
      <w:proofErr w:type="spellStart"/>
      <w:r w:rsidRPr="00D85612">
        <w:rPr>
          <w:rFonts w:ascii="Calibri Light" w:eastAsia="Times New Roman" w:hAnsi="Calibri Light" w:cs="Times New Roman"/>
          <w:color w:val="000000"/>
          <w:sz w:val="16"/>
          <w:szCs w:val="16"/>
        </w:rPr>
        <w:t>Fabulas</w:t>
      </w:r>
      <w:proofErr w:type="spellEnd"/>
      <w:r w:rsidRPr="00D85612">
        <w:rPr>
          <w:rFonts w:ascii="Calibri Light" w:eastAsia="Times New Roman" w:hAnsi="Calibri Light" w:cs="Times New Roman"/>
          <w:color w:val="000000"/>
          <w:sz w:val="16"/>
          <w:szCs w:val="16"/>
        </w:rPr>
        <w:t>, D. Snidal, </w:t>
      </w:r>
      <w:r w:rsidRPr="00D85612">
        <w:rPr>
          <w:rFonts w:ascii="Calibri Light" w:eastAsia="Times New Roman" w:hAnsi="Calibri Light" w:cs="Times New Roman"/>
          <w:i/>
          <w:iCs/>
          <w:color w:val="000000"/>
          <w:sz w:val="16"/>
          <w:szCs w:val="16"/>
        </w:rPr>
        <w:t>op. cit</w:t>
      </w:r>
      <w:r w:rsidRPr="00D85612">
        <w:rPr>
          <w:rFonts w:ascii="Calibri Light" w:eastAsia="Times New Roman" w:hAnsi="Calibri Light" w:cs="Times New Roman"/>
          <w:color w:val="000000"/>
          <w:sz w:val="16"/>
          <w:szCs w:val="16"/>
        </w:rPr>
        <w:t>., p. 211.</w:t>
      </w:r>
    </w:p>
    <w:bookmarkStart w:id="46" w:name="_ftn23"/>
    <w:bookmarkEnd w:id="46"/>
    <w:p w:rsidR="00D85612" w:rsidRPr="00D85612" w:rsidRDefault="00D85612" w:rsidP="00D85612">
      <w:pPr>
        <w:spacing w:after="0" w:line="240" w:lineRule="auto"/>
        <w:jc w:val="both"/>
        <w:rPr>
          <w:rFonts w:ascii="Times New Roman" w:eastAsia="Times New Roman" w:hAnsi="Times New Roman" w:cs="Times New Roman"/>
          <w:color w:val="000000"/>
          <w:sz w:val="27"/>
          <w:szCs w:val="27"/>
        </w:rPr>
      </w:pPr>
      <w:r w:rsidRPr="00D85612">
        <w:rPr>
          <w:rFonts w:ascii="Times New Roman" w:eastAsia="Times New Roman" w:hAnsi="Times New Roman" w:cs="Times New Roman"/>
          <w:color w:val="000000"/>
          <w:sz w:val="27"/>
          <w:szCs w:val="27"/>
        </w:rPr>
        <w:fldChar w:fldCharType="begin"/>
      </w:r>
      <w:r w:rsidRPr="00D85612">
        <w:rPr>
          <w:rFonts w:ascii="Times New Roman" w:eastAsia="Times New Roman" w:hAnsi="Times New Roman" w:cs="Times New Roman"/>
          <w:color w:val="000000"/>
          <w:sz w:val="27"/>
          <w:szCs w:val="27"/>
        </w:rPr>
        <w:instrText xml:space="preserve"> HYPERLINK "http://data.parliament.uk/writtenevidence/committeeevidence.svc/evidencedocument/environmental-audit-committee/sustainable-seas/written/83074.html" \l "_ftnref23" </w:instrText>
      </w:r>
      <w:r w:rsidRPr="00D85612">
        <w:rPr>
          <w:rFonts w:ascii="Times New Roman" w:eastAsia="Times New Roman" w:hAnsi="Times New Roman" w:cs="Times New Roman"/>
          <w:color w:val="000000"/>
          <w:sz w:val="27"/>
          <w:szCs w:val="27"/>
        </w:rPr>
        <w:fldChar w:fldCharType="separate"/>
      </w:r>
      <w:r w:rsidRPr="00D85612">
        <w:rPr>
          <w:rFonts w:ascii="Times New Roman" w:eastAsia="Times New Roman" w:hAnsi="Times New Roman" w:cs="Times New Roman"/>
          <w:color w:val="0000FF"/>
          <w:sz w:val="27"/>
          <w:szCs w:val="27"/>
          <w:u w:val="single"/>
        </w:rPr>
        <w:t>[23]</w:t>
      </w:r>
      <w:r w:rsidRPr="00D85612">
        <w:rPr>
          <w:rFonts w:ascii="Times New Roman" w:eastAsia="Times New Roman" w:hAnsi="Times New Roman" w:cs="Times New Roman"/>
          <w:color w:val="000000"/>
          <w:sz w:val="27"/>
          <w:szCs w:val="27"/>
        </w:rPr>
        <w:fldChar w:fldCharType="end"/>
      </w:r>
      <w:r w:rsidRPr="00D85612">
        <w:rPr>
          <w:rFonts w:ascii="Calibri Light" w:eastAsia="Times New Roman" w:hAnsi="Calibri Light" w:cs="Times New Roman"/>
          <w:color w:val="000000"/>
          <w:sz w:val="16"/>
          <w:szCs w:val="16"/>
        </w:rPr>
        <w:t> Hamilton Declaration, paragraph 6.</w:t>
      </w:r>
    </w:p>
    <w:p w:rsidR="00E765A9" w:rsidRDefault="00E765A9" w:rsidP="00D85612">
      <w:pPr>
        <w:jc w:val="both"/>
      </w:pPr>
    </w:p>
    <w:sectPr w:rsidR="00E765A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612" w:rsidRDefault="00D85612" w:rsidP="00D85612">
      <w:pPr>
        <w:spacing w:after="0" w:line="240" w:lineRule="auto"/>
      </w:pPr>
      <w:r>
        <w:separator/>
      </w:r>
    </w:p>
  </w:endnote>
  <w:endnote w:type="continuationSeparator" w:id="0">
    <w:p w:rsidR="00D85612" w:rsidRDefault="00D85612" w:rsidP="00D85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612" w:rsidRDefault="00D85612" w:rsidP="00D85612">
      <w:pPr>
        <w:spacing w:after="0" w:line="240" w:lineRule="auto"/>
      </w:pPr>
      <w:r>
        <w:separator/>
      </w:r>
    </w:p>
  </w:footnote>
  <w:footnote w:type="continuationSeparator" w:id="0">
    <w:p w:rsidR="00D85612" w:rsidRDefault="00D85612" w:rsidP="00D85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612" w:rsidRDefault="00D85612">
    <w:pPr>
      <w:pStyle w:val="Header"/>
    </w:pPr>
    <w:r>
      <w:rPr>
        <w:noProof/>
      </w:rPr>
      <w:drawing>
        <wp:inline distT="114300" distB="114300" distL="114300" distR="114300" wp14:anchorId="4410D403" wp14:editId="54A24371">
          <wp:extent cx="1519238" cy="544874"/>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519238" cy="544874"/>
                  </a:xfrm>
                  <a:prstGeom prst="rect">
                    <a:avLst/>
                  </a:prstGeom>
                  <a:ln/>
                </pic:spPr>
              </pic:pic>
            </a:graphicData>
          </a:graphic>
        </wp:inline>
      </w:drawing>
    </w:r>
    <w:r>
      <w:t xml:space="preserve">                                                                 </w:t>
    </w:r>
    <w:r>
      <w:rPr>
        <w:noProof/>
      </w:rPr>
      <w:drawing>
        <wp:inline distT="114300" distB="114300" distL="114300" distR="114300" wp14:anchorId="0F35DAF3" wp14:editId="201D5646">
          <wp:extent cx="2138363" cy="724628"/>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t="22200" b="26817"/>
                  <a:stretch>
                    <a:fillRect/>
                  </a:stretch>
                </pic:blipFill>
                <pic:spPr>
                  <a:xfrm>
                    <a:off x="0" y="0"/>
                    <a:ext cx="2138363" cy="72462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E7F1F"/>
    <w:multiLevelType w:val="multilevel"/>
    <w:tmpl w:val="279A83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0D1122"/>
    <w:multiLevelType w:val="multilevel"/>
    <w:tmpl w:val="EFC4EE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FD3850"/>
    <w:multiLevelType w:val="multilevel"/>
    <w:tmpl w:val="452C15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E02F18"/>
    <w:multiLevelType w:val="multilevel"/>
    <w:tmpl w:val="DCAA2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wNDA3tTQwNTI2MDFS0lEKTi0uzszPAykwrAUAqI57fiwAAAA="/>
  </w:docVars>
  <w:rsids>
    <w:rsidRoot w:val="00D85612"/>
    <w:rsid w:val="00227846"/>
    <w:rsid w:val="004C08EE"/>
    <w:rsid w:val="00D85612"/>
    <w:rsid w:val="00E765A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22369"/>
  <w15:chartTrackingRefBased/>
  <w15:docId w15:val="{1BBB72CA-A6B8-4CA0-A245-68657157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56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5612"/>
    <w:rPr>
      <w:color w:val="0000FF"/>
      <w:u w:val="single"/>
    </w:rPr>
  </w:style>
  <w:style w:type="paragraph" w:styleId="Header">
    <w:name w:val="header"/>
    <w:basedOn w:val="Normal"/>
    <w:link w:val="HeaderChar"/>
    <w:uiPriority w:val="99"/>
    <w:unhideWhenUsed/>
    <w:rsid w:val="00D85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612"/>
  </w:style>
  <w:style w:type="paragraph" w:styleId="Footer">
    <w:name w:val="footer"/>
    <w:basedOn w:val="Normal"/>
    <w:link w:val="FooterChar"/>
    <w:uiPriority w:val="99"/>
    <w:unhideWhenUsed/>
    <w:rsid w:val="00D85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946188">
      <w:bodyDiv w:val="1"/>
      <w:marLeft w:val="0"/>
      <w:marRight w:val="0"/>
      <w:marTop w:val="0"/>
      <w:marBottom w:val="0"/>
      <w:divBdr>
        <w:top w:val="none" w:sz="0" w:space="0" w:color="auto"/>
        <w:left w:val="none" w:sz="0" w:space="0" w:color="auto"/>
        <w:bottom w:val="none" w:sz="0" w:space="0" w:color="auto"/>
        <w:right w:val="none" w:sz="0" w:space="0" w:color="auto"/>
      </w:divBdr>
      <w:divsChild>
        <w:div w:id="1209298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4607</Words>
  <Characters>26261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30807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Pickford, Rich</dc:creator>
  <cp:keywords/>
  <dc:description/>
  <cp:lastModifiedBy>Pickford, Rich</cp:lastModifiedBy>
  <cp:revision>1</cp:revision>
  <dcterms:created xsi:type="dcterms:W3CDTF">2018-08-29T10:05:00Z</dcterms:created>
  <dcterms:modified xsi:type="dcterms:W3CDTF">2018-08-29T10:07:00Z</dcterms:modified>
</cp:coreProperties>
</file>