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AB45A" w14:textId="77777777" w:rsidR="00C52FCE" w:rsidRDefault="00C52FCE" w:rsidP="00C52FCE">
      <w:pPr>
        <w:rPr>
          <w:rFonts w:cstheme="minorHAnsi"/>
        </w:rPr>
      </w:pPr>
    </w:p>
    <w:p w14:paraId="1611E731" w14:textId="77777777" w:rsidR="00C52FCE" w:rsidRDefault="00C52FCE" w:rsidP="00C52FCE">
      <w:pPr>
        <w:rPr>
          <w:rFonts w:cstheme="minorHAnsi"/>
        </w:rPr>
      </w:pPr>
    </w:p>
    <w:p w14:paraId="53272A99" w14:textId="77777777" w:rsidR="00C52FCE" w:rsidRDefault="00C52FCE" w:rsidP="00C52FCE">
      <w:pPr>
        <w:rPr>
          <w:rFonts w:cstheme="minorHAnsi"/>
        </w:rPr>
      </w:pPr>
    </w:p>
    <w:p w14:paraId="2837C1C4" w14:textId="47DF0DF4" w:rsidR="00C52FCE" w:rsidRPr="00C52FCE" w:rsidRDefault="00C52FCE" w:rsidP="00C52FCE">
      <w:pPr>
        <w:rPr>
          <w:rFonts w:cstheme="minorHAnsi"/>
          <w:b/>
        </w:rPr>
      </w:pPr>
      <w:bookmarkStart w:id="0" w:name="_GoBack"/>
      <w:r w:rsidRPr="00C52FCE">
        <w:rPr>
          <w:rFonts w:cstheme="minorHAnsi"/>
          <w:b/>
        </w:rPr>
        <w:t xml:space="preserve">Unexpected Findings from a Prospective Observational Study </w:t>
      </w:r>
      <w:proofErr w:type="gramStart"/>
      <w:r w:rsidRPr="00C52FCE">
        <w:rPr>
          <w:rFonts w:cstheme="minorHAnsi"/>
          <w:b/>
        </w:rPr>
        <w:t>Among</w:t>
      </w:r>
      <w:proofErr w:type="gramEnd"/>
      <w:r w:rsidRPr="00C52FCE">
        <w:rPr>
          <w:rFonts w:cstheme="minorHAnsi"/>
          <w:b/>
        </w:rPr>
        <w:t xml:space="preserve"> Older Adults in Long Term Care</w:t>
      </w:r>
    </w:p>
    <w:bookmarkEnd w:id="0"/>
    <w:p w14:paraId="7E113E83" w14:textId="77777777" w:rsidR="00C52FCE" w:rsidRPr="00C52FCE" w:rsidRDefault="00C52FCE" w:rsidP="00C52FCE">
      <w:pPr>
        <w:rPr>
          <w:rFonts w:cstheme="minorHAnsi"/>
        </w:rPr>
      </w:pPr>
    </w:p>
    <w:p w14:paraId="50A7830F" w14:textId="4D32F5FD" w:rsidR="00C52FCE" w:rsidRPr="00C52FCE" w:rsidRDefault="00C52FCE" w:rsidP="00C52FCE">
      <w:pPr>
        <w:rPr>
          <w:rFonts w:cstheme="minorHAnsi"/>
          <w:u w:val="single"/>
        </w:rPr>
      </w:pPr>
      <w:r w:rsidRPr="00C52FCE">
        <w:rPr>
          <w:rFonts w:cstheme="minorHAnsi"/>
          <w:u w:val="single"/>
        </w:rPr>
        <w:t>Background</w:t>
      </w:r>
    </w:p>
    <w:p w14:paraId="76981E46" w14:textId="209A0B12" w:rsidR="00C52FCE" w:rsidRPr="00C52FCE" w:rsidRDefault="00C52FCE" w:rsidP="00C52FCE">
      <w:pPr>
        <w:rPr>
          <w:rFonts w:cstheme="minorHAnsi"/>
        </w:rPr>
      </w:pPr>
      <w:r w:rsidRPr="00C52FCE">
        <w:rPr>
          <w:rFonts w:cstheme="minorHAnsi"/>
        </w:rPr>
        <w:t xml:space="preserve">Pressure ulcer (PU) </w:t>
      </w:r>
      <w:proofErr w:type="gramStart"/>
      <w:r w:rsidRPr="00C52FCE">
        <w:rPr>
          <w:rFonts w:cstheme="minorHAnsi"/>
        </w:rPr>
        <w:t>research  has</w:t>
      </w:r>
      <w:proofErr w:type="gramEnd"/>
      <w:r w:rsidRPr="00C52FCE">
        <w:rPr>
          <w:rFonts w:cstheme="minorHAnsi"/>
        </w:rPr>
        <w:t xml:space="preserve"> pointed immobility as being the primary condition that exposes individuals to pressure and shear, and preventive measures are targeting it (1). Despite this, PU incidence is still increasing especially within older persons (2). This study aimed to identify how activity and mobility lead to PU development using two objective assessments for mobility and PU early detection.</w:t>
      </w:r>
    </w:p>
    <w:p w14:paraId="44CE58D8" w14:textId="77777777" w:rsidR="00C52FCE" w:rsidRPr="00C52FCE" w:rsidRDefault="00C52FCE" w:rsidP="00C52FCE">
      <w:pPr>
        <w:rPr>
          <w:rFonts w:cstheme="minorHAnsi"/>
        </w:rPr>
      </w:pPr>
    </w:p>
    <w:p w14:paraId="2F157864" w14:textId="77777777" w:rsidR="00C52FCE" w:rsidRPr="00C52FCE" w:rsidRDefault="00C52FCE" w:rsidP="00C52FCE">
      <w:pPr>
        <w:rPr>
          <w:rFonts w:cstheme="minorHAnsi"/>
          <w:u w:val="single"/>
        </w:rPr>
      </w:pPr>
      <w:r w:rsidRPr="00C52FCE">
        <w:rPr>
          <w:rFonts w:cstheme="minorHAnsi"/>
          <w:u w:val="single"/>
        </w:rPr>
        <w:t>Methods</w:t>
      </w:r>
    </w:p>
    <w:p w14:paraId="3B332239" w14:textId="5CB1E11A" w:rsidR="00C52FCE" w:rsidRPr="00C52FCE" w:rsidRDefault="00C52FCE" w:rsidP="00C52FCE">
      <w:pPr>
        <w:rPr>
          <w:rFonts w:cstheme="minorHAnsi"/>
        </w:rPr>
      </w:pPr>
      <w:r w:rsidRPr="00C52FCE">
        <w:rPr>
          <w:rFonts w:cstheme="minorHAnsi"/>
        </w:rPr>
        <w:t xml:space="preserve">With granted ethical approval, 150 older persons from long-term settings were followed-up for 20 days, skin assessed daily using visual skin assessment (VSA) and sub-epidermal moisture (SEM) assessment(3, 4) (3 consecutive days of high SEM were considered a SEM-PU). Activity and mobility were measured using Braden subscales and also a “movement score” (MS) (mean number of movements/hour) was quantified using a piezoelectric motion sensor (5). Further, MSs from 22 healthy participants were measured to classify the movement levels of older participants into: low movers and high movers/agitated. </w:t>
      </w:r>
    </w:p>
    <w:p w14:paraId="33B4B0AF" w14:textId="77777777" w:rsidR="00C52FCE" w:rsidRPr="00C52FCE" w:rsidRDefault="00C52FCE" w:rsidP="00C52FCE">
      <w:pPr>
        <w:rPr>
          <w:rFonts w:cstheme="minorHAnsi"/>
        </w:rPr>
      </w:pPr>
    </w:p>
    <w:p w14:paraId="62D4661B" w14:textId="77777777" w:rsidR="00C52FCE" w:rsidRPr="00C52FCE" w:rsidRDefault="00C52FCE" w:rsidP="00C52FCE">
      <w:pPr>
        <w:rPr>
          <w:rFonts w:cstheme="minorHAnsi"/>
          <w:u w:val="single"/>
        </w:rPr>
      </w:pPr>
      <w:r w:rsidRPr="00C52FCE">
        <w:rPr>
          <w:rFonts w:cstheme="minorHAnsi"/>
          <w:u w:val="single"/>
        </w:rPr>
        <w:t>Results</w:t>
      </w:r>
    </w:p>
    <w:p w14:paraId="35EB0A75" w14:textId="779D7357" w:rsidR="00C52FCE" w:rsidRPr="00C52FCE" w:rsidRDefault="00C52FCE" w:rsidP="00C52FCE">
      <w:pPr>
        <w:rPr>
          <w:rFonts w:cstheme="minorHAnsi"/>
        </w:rPr>
      </w:pPr>
      <w:r w:rsidRPr="00C52FCE">
        <w:rPr>
          <w:rFonts w:cstheme="minorHAnsi"/>
        </w:rPr>
        <w:t xml:space="preserve">The PU incidence using VSA was 12.7% (low movers= 6.7%; high movers/agitated= 6%). Using SEM, the incidence was 78.7% (low movers= 40.0%; high movers/agitated= 38.7%). On VSA, 100% of PU were confirmed using SEM assessment which detected a PU on average 8.2 days before it appeared visually on skin surface (min: 1; </w:t>
      </w:r>
      <w:proofErr w:type="spellStart"/>
      <w:r w:rsidRPr="00C52FCE">
        <w:rPr>
          <w:rFonts w:cstheme="minorHAnsi"/>
        </w:rPr>
        <w:t>max</w:t>
      </w:r>
      <w:proofErr w:type="spellEnd"/>
      <w:r w:rsidRPr="00C52FCE">
        <w:rPr>
          <w:rFonts w:cstheme="minorHAnsi"/>
        </w:rPr>
        <w:t>: 18; SD: 6.3). PU detection was 25 times greater using SEM than VSA (OR 25.42; 95% CI: 13.68-47.25).</w:t>
      </w:r>
    </w:p>
    <w:p w14:paraId="14FCFF07" w14:textId="77777777" w:rsidR="00C52FCE" w:rsidRPr="00C52FCE" w:rsidRDefault="00C52FCE" w:rsidP="00C52FCE">
      <w:pPr>
        <w:rPr>
          <w:rFonts w:cstheme="minorHAnsi"/>
        </w:rPr>
      </w:pPr>
    </w:p>
    <w:p w14:paraId="20118A72" w14:textId="77777777" w:rsidR="00C52FCE" w:rsidRPr="00C52FCE" w:rsidRDefault="00C52FCE" w:rsidP="00C52FCE">
      <w:pPr>
        <w:rPr>
          <w:rFonts w:cstheme="minorHAnsi"/>
          <w:u w:val="single"/>
        </w:rPr>
      </w:pPr>
      <w:r w:rsidRPr="00C52FCE">
        <w:rPr>
          <w:rFonts w:cstheme="minorHAnsi"/>
          <w:u w:val="single"/>
        </w:rPr>
        <w:t>Conclusion</w:t>
      </w:r>
    </w:p>
    <w:p w14:paraId="48D05ED3" w14:textId="46232E63" w:rsidR="00C52FCE" w:rsidRDefault="00C52FCE" w:rsidP="00C52FCE">
      <w:pPr>
        <w:rPr>
          <w:rFonts w:cstheme="minorHAnsi"/>
        </w:rPr>
      </w:pPr>
      <w:r w:rsidRPr="00C52FCE">
        <w:rPr>
          <w:rFonts w:cstheme="minorHAnsi"/>
        </w:rPr>
        <w:t>Evidence of improved assessment using a motion sensor to assess mobility was confirmed as 19% of immobile and 44% of very limited individuals (Braden subscale) were actually highly mobile individuals. Interestingly, most of those movements were unsafe as about 30% of them developed a SEM-PU. Therefore, the most striking finding was that PU occurred both in low and high movers, which was unexpected as a similar finding has not been previously reported in the literature. The traditional focus on low movers may detract from the identification of those making abnormally high frequency of movements. PU assessments can be enhanced through a combination of SEM and VSA, and through identification of both individuals with impaired mobility and abnormally high movements/agitated, especially with low activity levels giving a more clear indication of the individuals’ risk status.</w:t>
      </w:r>
    </w:p>
    <w:p w14:paraId="4EB7679A" w14:textId="6D0E5E67" w:rsidR="00C52FCE" w:rsidRDefault="00C52FCE" w:rsidP="00C52FCE">
      <w:pPr>
        <w:rPr>
          <w:rFonts w:cstheme="minorHAnsi"/>
        </w:rPr>
      </w:pPr>
    </w:p>
    <w:p w14:paraId="5B487EFE" w14:textId="073CAD92" w:rsidR="00C52FCE" w:rsidRDefault="00C52FCE" w:rsidP="00C52FCE">
      <w:pPr>
        <w:rPr>
          <w:rFonts w:cstheme="minorHAnsi"/>
        </w:rPr>
      </w:pPr>
    </w:p>
    <w:p w14:paraId="3DDB5E9B" w14:textId="23C92C5D" w:rsidR="00C52FCE" w:rsidRDefault="00C52FCE" w:rsidP="00C52FCE">
      <w:pPr>
        <w:rPr>
          <w:rFonts w:cstheme="minorHAnsi"/>
        </w:rPr>
      </w:pPr>
    </w:p>
    <w:p w14:paraId="77B7AD45" w14:textId="5C7F26D4" w:rsidR="00C52FCE" w:rsidRDefault="00C52FCE" w:rsidP="00C52FCE">
      <w:pPr>
        <w:rPr>
          <w:rFonts w:cstheme="minorHAnsi"/>
        </w:rPr>
      </w:pPr>
    </w:p>
    <w:p w14:paraId="1501691C" w14:textId="722A25B2" w:rsidR="00C52FCE" w:rsidRDefault="00C52FCE" w:rsidP="00C52FCE">
      <w:pPr>
        <w:rPr>
          <w:rFonts w:cstheme="minorHAnsi"/>
        </w:rPr>
      </w:pPr>
    </w:p>
    <w:p w14:paraId="55F5054A" w14:textId="33D8C9D1" w:rsidR="00C52FCE" w:rsidRDefault="00C52FCE" w:rsidP="00C52FCE">
      <w:pPr>
        <w:rPr>
          <w:rFonts w:cstheme="minorHAnsi"/>
        </w:rPr>
      </w:pPr>
    </w:p>
    <w:p w14:paraId="1EC319EA" w14:textId="3DC5E852" w:rsidR="00C52FCE" w:rsidRDefault="00C52FCE" w:rsidP="00C52FCE">
      <w:pPr>
        <w:rPr>
          <w:rFonts w:cstheme="minorHAnsi"/>
        </w:rPr>
      </w:pPr>
    </w:p>
    <w:p w14:paraId="6C6E621C" w14:textId="77777777" w:rsidR="00C52FCE" w:rsidRDefault="00C52FCE" w:rsidP="00C52FCE">
      <w:pPr>
        <w:rPr>
          <w:rFonts w:cstheme="minorHAnsi"/>
        </w:rPr>
      </w:pPr>
    </w:p>
    <w:p w14:paraId="7B31F223" w14:textId="77777777" w:rsidR="00C52FCE" w:rsidRPr="00C52FCE" w:rsidRDefault="00C52FCE" w:rsidP="00C52FCE">
      <w:pPr>
        <w:rPr>
          <w:rFonts w:cstheme="minorHAnsi"/>
        </w:rPr>
      </w:pPr>
    </w:p>
    <w:p w14:paraId="7CD28FBA" w14:textId="77777777" w:rsidR="00C52FCE" w:rsidRPr="00C52FCE" w:rsidRDefault="00C52FCE" w:rsidP="00C52FCE">
      <w:pPr>
        <w:rPr>
          <w:rFonts w:cstheme="minorHAnsi"/>
          <w:u w:val="single"/>
        </w:rPr>
      </w:pPr>
      <w:r w:rsidRPr="00C52FCE">
        <w:rPr>
          <w:rFonts w:cstheme="minorHAnsi"/>
          <w:u w:val="single"/>
        </w:rPr>
        <w:t>References</w:t>
      </w:r>
    </w:p>
    <w:p w14:paraId="34E0D2EC" w14:textId="14E3862C" w:rsidR="00C52FCE" w:rsidRPr="00C52FCE" w:rsidRDefault="00C52FCE" w:rsidP="00C52FCE">
      <w:pPr>
        <w:pStyle w:val="ListParagraph"/>
        <w:numPr>
          <w:ilvl w:val="0"/>
          <w:numId w:val="3"/>
        </w:numPr>
        <w:rPr>
          <w:rFonts w:cstheme="minorHAnsi"/>
        </w:rPr>
      </w:pPr>
      <w:r w:rsidRPr="00C52FCE">
        <w:rPr>
          <w:rFonts w:cstheme="minorHAnsi"/>
        </w:rPr>
        <w:t xml:space="preserve">Coleman S, Nixon J, Keen J, Wilson L, McGinnis E, </w:t>
      </w:r>
      <w:proofErr w:type="spellStart"/>
      <w:r w:rsidRPr="00C52FCE">
        <w:rPr>
          <w:rFonts w:cstheme="minorHAnsi"/>
        </w:rPr>
        <w:t>Dealey</w:t>
      </w:r>
      <w:proofErr w:type="spellEnd"/>
      <w:r w:rsidRPr="00C52FCE">
        <w:rPr>
          <w:rFonts w:cstheme="minorHAnsi"/>
        </w:rPr>
        <w:t xml:space="preserve"> C, et al. A new pressure ulcer conceptual framework. Journal of advanced nursing. 2014</w:t>
      </w:r>
      <w:proofErr w:type="gramStart"/>
      <w:r w:rsidRPr="00C52FCE">
        <w:rPr>
          <w:rFonts w:cstheme="minorHAnsi"/>
        </w:rPr>
        <w:t>;70</w:t>
      </w:r>
      <w:proofErr w:type="gramEnd"/>
      <w:r w:rsidRPr="00C52FCE">
        <w:rPr>
          <w:rFonts w:cstheme="minorHAnsi"/>
        </w:rPr>
        <w:t>(10):2222-34.</w:t>
      </w:r>
    </w:p>
    <w:p w14:paraId="3008876B" w14:textId="77777777" w:rsidR="00C52FCE" w:rsidRPr="00C52FCE" w:rsidRDefault="00C52FCE" w:rsidP="00C52FCE">
      <w:pPr>
        <w:rPr>
          <w:rFonts w:cstheme="minorHAnsi"/>
        </w:rPr>
      </w:pPr>
    </w:p>
    <w:p w14:paraId="523FEBFC" w14:textId="4C321848" w:rsidR="00C52FCE" w:rsidRPr="00C52FCE" w:rsidRDefault="00C52FCE" w:rsidP="00C52FCE">
      <w:pPr>
        <w:pStyle w:val="ListParagraph"/>
        <w:numPr>
          <w:ilvl w:val="0"/>
          <w:numId w:val="3"/>
        </w:numPr>
        <w:rPr>
          <w:rFonts w:cstheme="minorHAnsi"/>
        </w:rPr>
      </w:pPr>
      <w:proofErr w:type="spellStart"/>
      <w:r w:rsidRPr="00C52FCE">
        <w:rPr>
          <w:rFonts w:cstheme="minorHAnsi"/>
        </w:rPr>
        <w:t>VanGilder</w:t>
      </w:r>
      <w:proofErr w:type="spellEnd"/>
      <w:r w:rsidRPr="00C52FCE">
        <w:rPr>
          <w:rFonts w:cstheme="minorHAnsi"/>
        </w:rPr>
        <w:t xml:space="preserve"> C, </w:t>
      </w:r>
      <w:proofErr w:type="spellStart"/>
      <w:r w:rsidRPr="00C52FCE">
        <w:rPr>
          <w:rFonts w:cstheme="minorHAnsi"/>
        </w:rPr>
        <w:t>Lachenbruch</w:t>
      </w:r>
      <w:proofErr w:type="spellEnd"/>
      <w:r w:rsidRPr="00C52FCE">
        <w:rPr>
          <w:rFonts w:cstheme="minorHAnsi"/>
        </w:rPr>
        <w:t xml:space="preserve"> C, </w:t>
      </w:r>
      <w:proofErr w:type="spellStart"/>
      <w:r w:rsidRPr="00C52FCE">
        <w:rPr>
          <w:rFonts w:cstheme="minorHAnsi"/>
        </w:rPr>
        <w:t>Algrim</w:t>
      </w:r>
      <w:proofErr w:type="spellEnd"/>
      <w:r w:rsidRPr="00C52FCE">
        <w:rPr>
          <w:rFonts w:cstheme="minorHAnsi"/>
        </w:rPr>
        <w:t xml:space="preserve">-Boyle C, Meyer S. The International Pressure Ulcer Prevalence Survey: 2006-2015: A 10-Year Pressure Injury Prevalence and Demographic Trend Analysis by Care Setting. Journal of wound, ostomy, and continence </w:t>
      </w:r>
      <w:proofErr w:type="gramStart"/>
      <w:r w:rsidRPr="00C52FCE">
        <w:rPr>
          <w:rFonts w:cstheme="minorHAnsi"/>
        </w:rPr>
        <w:t>nursing :</w:t>
      </w:r>
      <w:proofErr w:type="gramEnd"/>
      <w:r w:rsidRPr="00C52FCE">
        <w:rPr>
          <w:rFonts w:cstheme="minorHAnsi"/>
        </w:rPr>
        <w:t xml:space="preserve"> official publication of The Wound, Ostomy and Continence Nurses Society / WOCN. 2017</w:t>
      </w:r>
      <w:proofErr w:type="gramStart"/>
      <w:r w:rsidRPr="00C52FCE">
        <w:rPr>
          <w:rFonts w:cstheme="minorHAnsi"/>
        </w:rPr>
        <w:t>;44</w:t>
      </w:r>
      <w:proofErr w:type="gramEnd"/>
      <w:r w:rsidRPr="00C52FCE">
        <w:rPr>
          <w:rFonts w:cstheme="minorHAnsi"/>
        </w:rPr>
        <w:t>(1):20-8.</w:t>
      </w:r>
    </w:p>
    <w:p w14:paraId="794D13C3" w14:textId="77777777" w:rsidR="00C52FCE" w:rsidRPr="00C52FCE" w:rsidRDefault="00C52FCE" w:rsidP="00C52FCE">
      <w:pPr>
        <w:rPr>
          <w:rFonts w:cstheme="minorHAnsi"/>
        </w:rPr>
      </w:pPr>
    </w:p>
    <w:p w14:paraId="1CFC0B4A" w14:textId="2CFE1E37" w:rsidR="00C52FCE" w:rsidRPr="00C52FCE" w:rsidRDefault="00C52FCE" w:rsidP="00C52FCE">
      <w:pPr>
        <w:pStyle w:val="ListParagraph"/>
        <w:numPr>
          <w:ilvl w:val="0"/>
          <w:numId w:val="3"/>
        </w:numPr>
        <w:rPr>
          <w:rFonts w:cstheme="minorHAnsi"/>
        </w:rPr>
      </w:pPr>
      <w:r w:rsidRPr="00C52FCE">
        <w:rPr>
          <w:rFonts w:cstheme="minorHAnsi"/>
        </w:rPr>
        <w:t xml:space="preserve">Bates-Jensen BM, </w:t>
      </w:r>
      <w:proofErr w:type="spellStart"/>
      <w:r w:rsidRPr="00C52FCE">
        <w:rPr>
          <w:rFonts w:cstheme="minorHAnsi"/>
        </w:rPr>
        <w:t>McCreath</w:t>
      </w:r>
      <w:proofErr w:type="spellEnd"/>
      <w:r w:rsidRPr="00C52FCE">
        <w:rPr>
          <w:rFonts w:cstheme="minorHAnsi"/>
        </w:rPr>
        <w:t xml:space="preserve"> HE, </w:t>
      </w:r>
      <w:proofErr w:type="spellStart"/>
      <w:r w:rsidRPr="00C52FCE">
        <w:rPr>
          <w:rFonts w:cstheme="minorHAnsi"/>
        </w:rPr>
        <w:t>Kono</w:t>
      </w:r>
      <w:proofErr w:type="spellEnd"/>
      <w:r w:rsidRPr="00C52FCE">
        <w:rPr>
          <w:rFonts w:cstheme="minorHAnsi"/>
        </w:rPr>
        <w:t xml:space="preserve"> A, </w:t>
      </w:r>
      <w:proofErr w:type="spellStart"/>
      <w:r w:rsidRPr="00C52FCE">
        <w:rPr>
          <w:rFonts w:cstheme="minorHAnsi"/>
        </w:rPr>
        <w:t>Apeles</w:t>
      </w:r>
      <w:proofErr w:type="spellEnd"/>
      <w:r w:rsidRPr="00C52FCE">
        <w:rPr>
          <w:rFonts w:cstheme="minorHAnsi"/>
        </w:rPr>
        <w:t xml:space="preserve"> NC, </w:t>
      </w:r>
      <w:proofErr w:type="spellStart"/>
      <w:r w:rsidRPr="00C52FCE">
        <w:rPr>
          <w:rFonts w:cstheme="minorHAnsi"/>
        </w:rPr>
        <w:t>Alessi</w:t>
      </w:r>
      <w:proofErr w:type="spellEnd"/>
      <w:r w:rsidRPr="00C52FCE">
        <w:rPr>
          <w:rFonts w:cstheme="minorHAnsi"/>
        </w:rPr>
        <w:t xml:space="preserve"> C. </w:t>
      </w:r>
      <w:proofErr w:type="spellStart"/>
      <w:r w:rsidRPr="00C52FCE">
        <w:rPr>
          <w:rFonts w:cstheme="minorHAnsi"/>
        </w:rPr>
        <w:t>Subepidermal</w:t>
      </w:r>
      <w:proofErr w:type="spellEnd"/>
      <w:r w:rsidRPr="00C52FCE">
        <w:rPr>
          <w:rFonts w:cstheme="minorHAnsi"/>
        </w:rPr>
        <w:t xml:space="preserve"> moisture predicts erythema and stage 1 pressure ulcers in nursing home residents: a pilot study. Journal of the American Geriatrics Society. 2007</w:t>
      </w:r>
      <w:proofErr w:type="gramStart"/>
      <w:r w:rsidRPr="00C52FCE">
        <w:rPr>
          <w:rFonts w:cstheme="minorHAnsi"/>
        </w:rPr>
        <w:t>;55</w:t>
      </w:r>
      <w:proofErr w:type="gramEnd"/>
      <w:r w:rsidRPr="00C52FCE">
        <w:rPr>
          <w:rFonts w:cstheme="minorHAnsi"/>
        </w:rPr>
        <w:t>(8):1199-205.</w:t>
      </w:r>
    </w:p>
    <w:p w14:paraId="0C49DBA5" w14:textId="77777777" w:rsidR="00C52FCE" w:rsidRPr="00C52FCE" w:rsidRDefault="00C52FCE" w:rsidP="00C52FCE">
      <w:pPr>
        <w:rPr>
          <w:rFonts w:cstheme="minorHAnsi"/>
        </w:rPr>
      </w:pPr>
    </w:p>
    <w:p w14:paraId="087C008B" w14:textId="0452D5F2" w:rsidR="00C52FCE" w:rsidRPr="00C52FCE" w:rsidRDefault="00C52FCE" w:rsidP="00C52FCE">
      <w:pPr>
        <w:pStyle w:val="ListParagraph"/>
        <w:numPr>
          <w:ilvl w:val="0"/>
          <w:numId w:val="3"/>
        </w:numPr>
        <w:rPr>
          <w:rFonts w:cstheme="minorHAnsi"/>
        </w:rPr>
      </w:pPr>
      <w:r w:rsidRPr="00C52FCE">
        <w:rPr>
          <w:rFonts w:cstheme="minorHAnsi"/>
        </w:rPr>
        <w:t xml:space="preserve">Moore Z, Patton D, Rhodes SL, O'Connor T. </w:t>
      </w:r>
      <w:proofErr w:type="spellStart"/>
      <w:r w:rsidRPr="00C52FCE">
        <w:rPr>
          <w:rFonts w:cstheme="minorHAnsi"/>
        </w:rPr>
        <w:t>Subepidermal</w:t>
      </w:r>
      <w:proofErr w:type="spellEnd"/>
      <w:r w:rsidRPr="00C52FCE">
        <w:rPr>
          <w:rFonts w:cstheme="minorHAnsi"/>
        </w:rPr>
        <w:t xml:space="preserve"> moisture (SEM) and </w:t>
      </w:r>
      <w:proofErr w:type="spellStart"/>
      <w:r w:rsidRPr="00C52FCE">
        <w:rPr>
          <w:rFonts w:cstheme="minorHAnsi"/>
        </w:rPr>
        <w:t>bioimpedance</w:t>
      </w:r>
      <w:proofErr w:type="spellEnd"/>
      <w:r w:rsidRPr="00C52FCE">
        <w:rPr>
          <w:rFonts w:cstheme="minorHAnsi"/>
        </w:rPr>
        <w:t>: a literature review of a novel method for early detection of pressure-induced tissue damage (pressure ulcers). International wound journal. 2017</w:t>
      </w:r>
      <w:proofErr w:type="gramStart"/>
      <w:r w:rsidRPr="00C52FCE">
        <w:rPr>
          <w:rFonts w:cstheme="minorHAnsi"/>
        </w:rPr>
        <w:t>;14</w:t>
      </w:r>
      <w:proofErr w:type="gramEnd"/>
      <w:r w:rsidRPr="00C52FCE">
        <w:rPr>
          <w:rFonts w:cstheme="minorHAnsi"/>
        </w:rPr>
        <w:t>(2):331-7.</w:t>
      </w:r>
    </w:p>
    <w:p w14:paraId="182D7F6F" w14:textId="77777777" w:rsidR="00C52FCE" w:rsidRPr="00C52FCE" w:rsidRDefault="00C52FCE" w:rsidP="00C52FCE">
      <w:pPr>
        <w:rPr>
          <w:rFonts w:cstheme="minorHAnsi"/>
        </w:rPr>
      </w:pPr>
    </w:p>
    <w:p w14:paraId="247E7BE0" w14:textId="08B1B034" w:rsidR="00C52FCE" w:rsidRPr="00C52FCE" w:rsidRDefault="00C52FCE" w:rsidP="00C52FCE">
      <w:pPr>
        <w:pStyle w:val="ListParagraph"/>
        <w:numPr>
          <w:ilvl w:val="0"/>
          <w:numId w:val="3"/>
        </w:numPr>
        <w:rPr>
          <w:rFonts w:cstheme="minorHAnsi"/>
        </w:rPr>
      </w:pPr>
      <w:proofErr w:type="spellStart"/>
      <w:r w:rsidRPr="00C52FCE">
        <w:rPr>
          <w:rFonts w:cstheme="minorHAnsi"/>
        </w:rPr>
        <w:t>Zimlichman</w:t>
      </w:r>
      <w:proofErr w:type="spellEnd"/>
      <w:r w:rsidRPr="00C52FCE">
        <w:rPr>
          <w:rFonts w:cstheme="minorHAnsi"/>
        </w:rPr>
        <w:t xml:space="preserve"> E, Shinar Z, </w:t>
      </w:r>
      <w:proofErr w:type="spellStart"/>
      <w:r w:rsidRPr="00C52FCE">
        <w:rPr>
          <w:rFonts w:cstheme="minorHAnsi"/>
        </w:rPr>
        <w:t>Rozenblum</w:t>
      </w:r>
      <w:proofErr w:type="spellEnd"/>
      <w:r w:rsidRPr="00C52FCE">
        <w:rPr>
          <w:rFonts w:cstheme="minorHAnsi"/>
        </w:rPr>
        <w:t xml:space="preserve"> R, </w:t>
      </w:r>
      <w:proofErr w:type="spellStart"/>
      <w:r w:rsidRPr="00C52FCE">
        <w:rPr>
          <w:rFonts w:cstheme="minorHAnsi"/>
        </w:rPr>
        <w:t>Levkovich</w:t>
      </w:r>
      <w:proofErr w:type="spellEnd"/>
      <w:r w:rsidRPr="00C52FCE">
        <w:rPr>
          <w:rFonts w:cstheme="minorHAnsi"/>
        </w:rPr>
        <w:t xml:space="preserve"> S, </w:t>
      </w:r>
      <w:proofErr w:type="spellStart"/>
      <w:r w:rsidRPr="00C52FCE">
        <w:rPr>
          <w:rFonts w:cstheme="minorHAnsi"/>
        </w:rPr>
        <w:t>Skiano</w:t>
      </w:r>
      <w:proofErr w:type="spellEnd"/>
      <w:r w:rsidRPr="00C52FCE">
        <w:rPr>
          <w:rFonts w:cstheme="minorHAnsi"/>
        </w:rPr>
        <w:t xml:space="preserve"> S, </w:t>
      </w:r>
      <w:proofErr w:type="spellStart"/>
      <w:r w:rsidRPr="00C52FCE">
        <w:rPr>
          <w:rFonts w:cstheme="minorHAnsi"/>
        </w:rPr>
        <w:t>Szyper-Kravitz</w:t>
      </w:r>
      <w:proofErr w:type="spellEnd"/>
      <w:r w:rsidRPr="00C52FCE">
        <w:rPr>
          <w:rFonts w:cstheme="minorHAnsi"/>
        </w:rPr>
        <w:t xml:space="preserve"> M, et al. Using continuous motion monitoring technology to determine patient's risk for development of pressure ulcers. Journal of patient safety. 2011</w:t>
      </w:r>
      <w:proofErr w:type="gramStart"/>
      <w:r w:rsidRPr="00C52FCE">
        <w:rPr>
          <w:rFonts w:cstheme="minorHAnsi"/>
        </w:rPr>
        <w:t>;7</w:t>
      </w:r>
      <w:proofErr w:type="gramEnd"/>
      <w:r w:rsidRPr="00C52FCE">
        <w:rPr>
          <w:rFonts w:cstheme="minorHAnsi"/>
        </w:rPr>
        <w:t>(4):181-4.</w:t>
      </w:r>
    </w:p>
    <w:p w14:paraId="4BB248F8" w14:textId="0FE9BD85" w:rsidR="005D4044" w:rsidRPr="00C52FCE" w:rsidRDefault="005D4044" w:rsidP="00C52FCE"/>
    <w:sectPr w:rsidR="005D4044" w:rsidRPr="00C52FCE" w:rsidSect="005D353C">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8F54A" w14:textId="77777777" w:rsidR="005D4044" w:rsidRDefault="005D4044" w:rsidP="005D4044">
      <w:r>
        <w:separator/>
      </w:r>
    </w:p>
  </w:endnote>
  <w:endnote w:type="continuationSeparator" w:id="0">
    <w:p w14:paraId="2F319EBA" w14:textId="77777777" w:rsidR="005D4044" w:rsidRDefault="005D4044" w:rsidP="005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337ED" w14:textId="21D4465B" w:rsidR="005D4044" w:rsidRDefault="005D4044">
    <w:pPr>
      <w:pStyle w:val="Footer"/>
    </w:pPr>
    <w:r>
      <w:rPr>
        <w:noProof/>
        <w:lang w:val="en-GB" w:eastAsia="en-GB"/>
      </w:rPr>
      <w:drawing>
        <wp:anchor distT="0" distB="0" distL="114300" distR="114300" simplePos="0" relativeHeight="251661312" behindDoc="1" locked="0" layoutInCell="1" allowOverlap="1" wp14:anchorId="679BDA30" wp14:editId="37EA3660">
          <wp:simplePos x="0" y="0"/>
          <wp:positionH relativeFrom="column">
            <wp:posOffset>3925613</wp:posOffset>
          </wp:positionH>
          <wp:positionV relativeFrom="paragraph">
            <wp:posOffset>-220717</wp:posOffset>
          </wp:positionV>
          <wp:extent cx="2286635" cy="511175"/>
          <wp:effectExtent l="0" t="0" r="0" b="0"/>
          <wp:wrapNone/>
          <wp:docPr id="2" name="Picture 2" descr="../address-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cit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635" cy="511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7F306297" wp14:editId="209445AA">
          <wp:simplePos x="0" y="0"/>
          <wp:positionH relativeFrom="column">
            <wp:posOffset>-428625</wp:posOffset>
          </wp:positionH>
          <wp:positionV relativeFrom="paragraph">
            <wp:posOffset>-1247775</wp:posOffset>
          </wp:positionV>
          <wp:extent cx="1086485" cy="1538605"/>
          <wp:effectExtent l="0" t="0" r="0" b="4445"/>
          <wp:wrapNone/>
          <wp:docPr id="1" name="Picture 1" descr="../Queens_Anniversary_Priz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ens_Anniversary_Prizes_colo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648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81D1" w14:textId="77777777" w:rsidR="005D4044" w:rsidRDefault="005D4044" w:rsidP="005D4044">
      <w:r>
        <w:separator/>
      </w:r>
    </w:p>
  </w:footnote>
  <w:footnote w:type="continuationSeparator" w:id="0">
    <w:p w14:paraId="208F6C09" w14:textId="77777777" w:rsidR="005D4044" w:rsidRDefault="005D4044" w:rsidP="005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EA7FC" w14:textId="66079ACD" w:rsidR="005D4044" w:rsidRDefault="005D4044">
    <w:pPr>
      <w:pStyle w:val="Header"/>
    </w:pPr>
    <w:r>
      <w:rPr>
        <w:noProof/>
        <w:lang w:val="en-GB" w:eastAsia="en-GB"/>
      </w:rPr>
      <w:drawing>
        <wp:anchor distT="0" distB="0" distL="114300" distR="114300" simplePos="0" relativeHeight="251663360" behindDoc="1" locked="0" layoutInCell="1" allowOverlap="1" wp14:anchorId="4CCAA4FB" wp14:editId="62658454">
          <wp:simplePos x="0" y="0"/>
          <wp:positionH relativeFrom="column">
            <wp:posOffset>3846304</wp:posOffset>
          </wp:positionH>
          <wp:positionV relativeFrom="paragraph">
            <wp:posOffset>62230</wp:posOffset>
          </wp:positionV>
          <wp:extent cx="2264259" cy="688340"/>
          <wp:effectExtent l="0" t="0" r="3175" b="0"/>
          <wp:wrapNone/>
          <wp:docPr id="6" name="Picture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4259" cy="6883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112"/>
    <w:multiLevelType w:val="hybridMultilevel"/>
    <w:tmpl w:val="53EC1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A40059"/>
    <w:multiLevelType w:val="hybridMultilevel"/>
    <w:tmpl w:val="598EF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9E2808"/>
    <w:multiLevelType w:val="hybridMultilevel"/>
    <w:tmpl w:val="A1CC9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C64"/>
    <w:rsid w:val="000F34CD"/>
    <w:rsid w:val="001D26BF"/>
    <w:rsid w:val="00303718"/>
    <w:rsid w:val="00376891"/>
    <w:rsid w:val="004318B6"/>
    <w:rsid w:val="0043657D"/>
    <w:rsid w:val="004A7B67"/>
    <w:rsid w:val="005947CB"/>
    <w:rsid w:val="005D353C"/>
    <w:rsid w:val="005D4044"/>
    <w:rsid w:val="00660AD2"/>
    <w:rsid w:val="00694C64"/>
    <w:rsid w:val="00766225"/>
    <w:rsid w:val="008B3C56"/>
    <w:rsid w:val="00A173A2"/>
    <w:rsid w:val="00A25646"/>
    <w:rsid w:val="00AB5579"/>
    <w:rsid w:val="00BC5152"/>
    <w:rsid w:val="00C52FCE"/>
    <w:rsid w:val="00E11965"/>
    <w:rsid w:val="00F05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2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44"/>
    <w:pPr>
      <w:tabs>
        <w:tab w:val="center" w:pos="4513"/>
        <w:tab w:val="right" w:pos="9026"/>
      </w:tabs>
    </w:pPr>
  </w:style>
  <w:style w:type="character" w:customStyle="1" w:styleId="HeaderChar">
    <w:name w:val="Header Char"/>
    <w:basedOn w:val="DefaultParagraphFont"/>
    <w:link w:val="Header"/>
    <w:uiPriority w:val="99"/>
    <w:rsid w:val="005D4044"/>
  </w:style>
  <w:style w:type="paragraph" w:styleId="Footer">
    <w:name w:val="footer"/>
    <w:basedOn w:val="Normal"/>
    <w:link w:val="FooterChar"/>
    <w:uiPriority w:val="99"/>
    <w:unhideWhenUsed/>
    <w:rsid w:val="005D4044"/>
    <w:pPr>
      <w:tabs>
        <w:tab w:val="center" w:pos="4513"/>
        <w:tab w:val="right" w:pos="9026"/>
      </w:tabs>
    </w:pPr>
  </w:style>
  <w:style w:type="character" w:customStyle="1" w:styleId="FooterChar">
    <w:name w:val="Footer Char"/>
    <w:basedOn w:val="DefaultParagraphFont"/>
    <w:link w:val="Footer"/>
    <w:uiPriority w:val="99"/>
    <w:rsid w:val="005D4044"/>
  </w:style>
  <w:style w:type="character" w:styleId="Hyperlink">
    <w:name w:val="Hyperlink"/>
    <w:basedOn w:val="DefaultParagraphFont"/>
    <w:uiPriority w:val="99"/>
    <w:unhideWhenUsed/>
    <w:rsid w:val="005D4044"/>
    <w:rPr>
      <w:color w:val="0563C1" w:themeColor="hyperlink"/>
      <w:u w:val="single"/>
    </w:rPr>
  </w:style>
  <w:style w:type="paragraph" w:styleId="ListParagraph">
    <w:name w:val="List Paragraph"/>
    <w:basedOn w:val="Normal"/>
    <w:uiPriority w:val="34"/>
    <w:qFormat/>
    <w:rsid w:val="00660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Naylor, Jade</cp:lastModifiedBy>
  <cp:revision>2</cp:revision>
  <cp:lastPrinted>2016-11-04T14:48:00Z</cp:lastPrinted>
  <dcterms:created xsi:type="dcterms:W3CDTF">2019-08-21T11:25:00Z</dcterms:created>
  <dcterms:modified xsi:type="dcterms:W3CDTF">2019-08-21T11:25:00Z</dcterms:modified>
</cp:coreProperties>
</file>