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4F" w:rsidRDefault="00E9244F" w:rsidP="00E9244F">
      <w:pPr>
        <w:pStyle w:val="Title"/>
        <w:jc w:val="center"/>
      </w:pPr>
      <w:r>
        <w:t>Trauma-Informed Manager Checklist</w:t>
      </w:r>
    </w:p>
    <w:p w:rsidR="00E9244F" w:rsidRDefault="00E9244F" w:rsidP="00E9244F">
      <w:pPr>
        <w:jc w:val="both"/>
      </w:pPr>
      <w:r>
        <w:t>This checklist provides managers with practical steps to support employees who may disclose trauma or exhibit signs of distress. Use it as a quick reference guide to ensure compassionate, consistent, and effective responses.</w:t>
      </w:r>
    </w:p>
    <w:p w:rsidR="00E9244F" w:rsidRDefault="00E9244F" w:rsidP="00E9244F">
      <w:pPr>
        <w:pStyle w:val="Heading2"/>
      </w:pPr>
      <w:r>
        <w:t>Before a Disclosure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Understand basic trauma concepts and organisational policies.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Complete trauma-awareness training.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proofErr w:type="spellStart"/>
      <w:r>
        <w:t>Familiarise</w:t>
      </w:r>
      <w:proofErr w:type="spellEnd"/>
      <w:r>
        <w:t xml:space="preserve"> yourself with internal and external support resources.</w:t>
      </w:r>
    </w:p>
    <w:p w:rsidR="00E9244F" w:rsidRDefault="00E9244F" w:rsidP="00E9244F">
      <w:pPr>
        <w:pStyle w:val="Heading2"/>
      </w:pPr>
      <w:r>
        <w:t>During a Disclosure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Listen actively and without judgment.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Maintain confidentiality—do not share information without consent.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Avoid probing for unnecessary details; focus on support, not the cause.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Validate the employee’s feelings (e.g., ‘Thank you for sharing this with me.’).</w:t>
      </w:r>
    </w:p>
    <w:p w:rsidR="00E9244F" w:rsidRDefault="00E9244F" w:rsidP="00E9244F">
      <w:pPr>
        <w:pStyle w:val="Heading2"/>
      </w:pPr>
      <w:r>
        <w:t>After a Disclosure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Offer practical adjustments (e.g., flexible hours, workload review).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Signpost to professional help (EAP, mental health services).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Document the conversation securely and in line with policy.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Schedule a follow-up check-in to review wellbeing and support needs.</w:t>
      </w:r>
    </w:p>
    <w:p w:rsidR="00E9244F" w:rsidRDefault="00E9244F" w:rsidP="00E9244F">
      <w:pPr>
        <w:pStyle w:val="Heading2"/>
      </w:pPr>
      <w:r>
        <w:t>Ongoing Responsibilities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Foster psychological safety within the team.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Monitor for signs of stress or burnout.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Encourage open dialogue and reduce stigma.</w:t>
      </w:r>
    </w:p>
    <w:p w:rsidR="00E9244F" w:rsidRDefault="00E9244F" w:rsidP="00E9244F">
      <w:pPr>
        <w:pStyle w:val="ListBullet"/>
        <w:tabs>
          <w:tab w:val="num" w:pos="360"/>
        </w:tabs>
        <w:ind w:left="360" w:hanging="360"/>
      </w:pPr>
      <w:r>
        <w:t>Engage in reflective supervision and continuous learning.</w:t>
      </w:r>
    </w:p>
    <w:p w:rsidR="00E9244F" w:rsidRDefault="00E9244F" w:rsidP="00E9244F">
      <w:pPr>
        <w:pStyle w:val="Heading2"/>
      </w:pPr>
      <w:r>
        <w:t>Notes:</w:t>
      </w:r>
    </w:p>
    <w:p w:rsidR="00E9244F" w:rsidRDefault="00E9244F" w:rsidP="00E9244F">
      <w:r>
        <w:t>___________________________________________________________</w:t>
      </w:r>
    </w:p>
    <w:p w:rsidR="00E9244F" w:rsidRDefault="00E9244F" w:rsidP="00E9244F">
      <w:r>
        <w:t>___________________________________________________________</w:t>
      </w:r>
    </w:p>
    <w:p w:rsidR="00E9244F" w:rsidRDefault="00E9244F" w:rsidP="00E9244F">
      <w:r>
        <w:t>___________________________________________________________</w:t>
      </w:r>
    </w:p>
    <w:p w:rsidR="00A775CC" w:rsidRDefault="00A775CC"/>
    <w:sectPr w:rsidR="00A775CC" w:rsidSect="00E924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3249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4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4F"/>
    <w:rsid w:val="00023731"/>
    <w:rsid w:val="008A39B7"/>
    <w:rsid w:val="00912E7C"/>
    <w:rsid w:val="00A775CC"/>
    <w:rsid w:val="00AA194A"/>
    <w:rsid w:val="00DE69BA"/>
    <w:rsid w:val="00E72645"/>
    <w:rsid w:val="00E9244F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9553"/>
  <w15:chartTrackingRefBased/>
  <w15:docId w15:val="{1594A110-E0C9-477E-9EBA-6F83FE05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4F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2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4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E9244F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1212</Characters>
  <Application>Microsoft Office Word</Application>
  <DocSecurity>0</DocSecurity>
  <Lines>21</Lines>
  <Paragraphs>9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Nachmias, Stefanos</dc:creator>
  <cp:keywords/>
  <dc:description/>
  <cp:lastModifiedBy>Bennett, Tileisha</cp:lastModifiedBy>
  <cp:revision>1</cp:revision>
  <dcterms:created xsi:type="dcterms:W3CDTF">2026-01-20T15:36:00Z</dcterms:created>
  <dcterms:modified xsi:type="dcterms:W3CDTF">2026-01-20T15:36:00Z</dcterms:modified>
</cp:coreProperties>
</file>