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BC6" w:rsidRDefault="00822C68" w:rsidP="00923782">
      <w:pPr>
        <w:pStyle w:val="Heading1"/>
        <w:rPr>
          <w:sz w:val="22"/>
          <w:szCs w:val="22"/>
        </w:rPr>
      </w:pPr>
      <w:r w:rsidRPr="00102323">
        <w:rPr>
          <w:sz w:val="22"/>
          <w:szCs w:val="22"/>
        </w:rPr>
        <w:t xml:space="preserve">TILT Festival </w:t>
      </w:r>
      <w:r w:rsidR="00A90BC6">
        <w:rPr>
          <w:sz w:val="22"/>
          <w:szCs w:val="22"/>
        </w:rPr>
        <w:t>of Learning</w:t>
      </w:r>
    </w:p>
    <w:p w:rsidR="00C724E0" w:rsidRPr="00C724E0" w:rsidRDefault="00C724E0" w:rsidP="00C724E0">
      <w:pPr>
        <w:pStyle w:val="Heading1"/>
        <w:rPr>
          <w:sz w:val="22"/>
        </w:rPr>
      </w:pPr>
      <w:r w:rsidRPr="00C724E0">
        <w:rPr>
          <w:sz w:val="22"/>
        </w:rPr>
        <w:t>Lifelong learning: pedagogies for the future</w:t>
      </w:r>
    </w:p>
    <w:p w:rsidR="00C724E0" w:rsidRDefault="00C724E0" w:rsidP="00A90BC6">
      <w:pPr>
        <w:rPr>
          <w:szCs w:val="20"/>
        </w:rPr>
      </w:pPr>
    </w:p>
    <w:p w:rsidR="00DB4893" w:rsidRPr="00A90BC6" w:rsidRDefault="00DB4893" w:rsidP="00A90BC6">
      <w:pPr>
        <w:rPr>
          <w:rFonts w:ascii="Calibri" w:hAnsi="Calibri"/>
          <w:szCs w:val="22"/>
        </w:rPr>
      </w:pPr>
      <w:r>
        <w:rPr>
          <w:szCs w:val="20"/>
        </w:rPr>
        <w:t>Tuesday 2</w:t>
      </w:r>
      <w:r w:rsidR="00C724E0">
        <w:rPr>
          <w:szCs w:val="20"/>
        </w:rPr>
        <w:t>5</w:t>
      </w:r>
      <w:r>
        <w:rPr>
          <w:szCs w:val="20"/>
        </w:rPr>
        <w:t xml:space="preserve"> June 201</w:t>
      </w:r>
      <w:r w:rsidR="00C724E0">
        <w:rPr>
          <w:szCs w:val="20"/>
        </w:rPr>
        <w:t>9</w:t>
      </w:r>
      <w:r>
        <w:rPr>
          <w:szCs w:val="20"/>
        </w:rPr>
        <w:t xml:space="preserve">, </w:t>
      </w:r>
      <w:r w:rsidR="00C724E0">
        <w:rPr>
          <w:szCs w:val="20"/>
        </w:rPr>
        <w:t>Clifton Campus</w:t>
      </w:r>
    </w:p>
    <w:p w:rsidR="00C724E0" w:rsidRPr="00A90BC6" w:rsidRDefault="00C724E0" w:rsidP="00C724E0">
      <w:pPr>
        <w:rPr>
          <w:szCs w:val="20"/>
        </w:rPr>
      </w:pPr>
      <w:r>
        <w:rPr>
          <w:szCs w:val="20"/>
        </w:rPr>
        <w:t xml:space="preserve">We are delighted to announce the call for contributions to the 2019 TILT Festival of Learning. Our theme this year explores pedagogies that develop lifelong </w:t>
      </w:r>
      <w:proofErr w:type="gramStart"/>
      <w:r>
        <w:rPr>
          <w:szCs w:val="20"/>
        </w:rPr>
        <w:t xml:space="preserve">learning, </w:t>
      </w:r>
      <w:r w:rsidRPr="00C724E0">
        <w:rPr>
          <w:szCs w:val="20"/>
        </w:rPr>
        <w:t>and</w:t>
      </w:r>
      <w:proofErr w:type="gramEnd"/>
      <w:r w:rsidRPr="00C724E0">
        <w:rPr>
          <w:szCs w:val="20"/>
        </w:rPr>
        <w:t xml:space="preserve"> relates to our lifelong learning strategic lens</w:t>
      </w:r>
      <w:r>
        <w:rPr>
          <w:szCs w:val="20"/>
        </w:rPr>
        <w:t>. We are particularly interested in how the curriculum we deliver prepares students for the rapidly changing world of work, and how the skills students develop through our teaching and learning approaches enable them to engage in lifelong (and ‘</w:t>
      </w:r>
      <w:proofErr w:type="spellStart"/>
      <w:r>
        <w:rPr>
          <w:szCs w:val="20"/>
        </w:rPr>
        <w:t>lifewide</w:t>
      </w:r>
      <w:proofErr w:type="spellEnd"/>
      <w:r>
        <w:rPr>
          <w:szCs w:val="20"/>
        </w:rPr>
        <w:t>’) learning.</w:t>
      </w:r>
    </w:p>
    <w:p w:rsidR="00C724E0" w:rsidRPr="00A90BC6" w:rsidRDefault="00C724E0" w:rsidP="00C724E0">
      <w:pPr>
        <w:rPr>
          <w:szCs w:val="20"/>
        </w:rPr>
      </w:pPr>
      <w:r>
        <w:rPr>
          <w:szCs w:val="20"/>
        </w:rPr>
        <w:t>We invite contributions in a variety of formats: from academic papers and posters, to hands-on workshops and virtual-reality experiences. We want to ensure that the programme is designed to showcase your ideas!</w:t>
      </w:r>
    </w:p>
    <w:p w:rsidR="00C724E0" w:rsidRPr="00C724E0" w:rsidRDefault="00C724E0" w:rsidP="00C724E0">
      <w:pPr>
        <w:rPr>
          <w:szCs w:val="20"/>
        </w:rPr>
      </w:pPr>
      <w:r>
        <w:rPr>
          <w:szCs w:val="20"/>
        </w:rPr>
        <w:t>Proposals for innovative and inspiring contributions on all aspects of the theme are welcome, including but not limited to:</w:t>
      </w:r>
    </w:p>
    <w:p w:rsidR="00C724E0" w:rsidRPr="00C724E0" w:rsidRDefault="00C724E0" w:rsidP="00C724E0">
      <w:pPr>
        <w:pStyle w:val="ListParagraph"/>
        <w:numPr>
          <w:ilvl w:val="0"/>
          <w:numId w:val="9"/>
        </w:numPr>
        <w:spacing w:after="160" w:line="259" w:lineRule="auto"/>
        <w:rPr>
          <w:rFonts w:ascii="Verdana" w:hAnsi="Verdana"/>
          <w:b/>
          <w:sz w:val="20"/>
        </w:rPr>
      </w:pPr>
      <w:r w:rsidRPr="00C724E0">
        <w:rPr>
          <w:rFonts w:ascii="Verdana" w:hAnsi="Verdana"/>
          <w:b/>
          <w:sz w:val="20"/>
        </w:rPr>
        <w:t>Skills for changing careers—</w:t>
      </w:r>
      <w:r w:rsidRPr="00C724E0">
        <w:rPr>
          <w:rFonts w:ascii="Verdana" w:hAnsi="Verdana"/>
          <w:sz w:val="20"/>
        </w:rPr>
        <w:t>what teaching and learning approaches will prepare students for rapid innovation and changing job roles over their careers?</w:t>
      </w:r>
    </w:p>
    <w:p w:rsidR="00C724E0" w:rsidRPr="00C724E0" w:rsidRDefault="00C724E0" w:rsidP="00C724E0">
      <w:pPr>
        <w:pStyle w:val="ListParagraph"/>
        <w:numPr>
          <w:ilvl w:val="0"/>
          <w:numId w:val="9"/>
        </w:numPr>
        <w:spacing w:after="160" w:line="259" w:lineRule="auto"/>
        <w:rPr>
          <w:rFonts w:ascii="Verdana" w:hAnsi="Verdana"/>
          <w:sz w:val="20"/>
        </w:rPr>
      </w:pPr>
      <w:r w:rsidRPr="00C724E0">
        <w:rPr>
          <w:rFonts w:ascii="Verdana" w:hAnsi="Verdana"/>
          <w:b/>
          <w:sz w:val="20"/>
        </w:rPr>
        <w:t>Student diversity—</w:t>
      </w:r>
      <w:r w:rsidRPr="00C724E0">
        <w:rPr>
          <w:rFonts w:ascii="Verdana" w:hAnsi="Verdana"/>
          <w:sz w:val="20"/>
        </w:rPr>
        <w:t>Are we providing appropriately flexible modes of delivery and pedagogies that allow all students to learn?</w:t>
      </w:r>
    </w:p>
    <w:p w:rsidR="00C724E0" w:rsidRPr="00C724E0" w:rsidRDefault="00C724E0" w:rsidP="00C724E0">
      <w:pPr>
        <w:pStyle w:val="ListParagraph"/>
        <w:numPr>
          <w:ilvl w:val="0"/>
          <w:numId w:val="9"/>
        </w:numPr>
        <w:spacing w:after="160" w:line="259" w:lineRule="auto"/>
        <w:rPr>
          <w:rFonts w:ascii="Verdana" w:hAnsi="Verdana"/>
          <w:sz w:val="20"/>
        </w:rPr>
      </w:pPr>
      <w:r w:rsidRPr="00C724E0">
        <w:rPr>
          <w:rFonts w:ascii="Verdana" w:hAnsi="Verdana"/>
          <w:b/>
          <w:sz w:val="20"/>
        </w:rPr>
        <w:t>Learning through Practice</w:t>
      </w:r>
      <w:r w:rsidRPr="00C724E0">
        <w:rPr>
          <w:rFonts w:ascii="Verdana" w:hAnsi="Verdana"/>
          <w:sz w:val="20"/>
        </w:rPr>
        <w:t xml:space="preserve">—are our courses (and their relationships with Professional Bodies) responding to employers’ learning needs? What </w:t>
      </w:r>
      <w:proofErr w:type="gramStart"/>
      <w:r w:rsidRPr="00C724E0">
        <w:rPr>
          <w:rFonts w:ascii="Verdana" w:hAnsi="Verdana"/>
          <w:sz w:val="20"/>
        </w:rPr>
        <w:t>learning</w:t>
      </w:r>
      <w:proofErr w:type="gramEnd"/>
      <w:r w:rsidRPr="00C724E0">
        <w:rPr>
          <w:rFonts w:ascii="Verdana" w:hAnsi="Verdana"/>
          <w:sz w:val="20"/>
        </w:rPr>
        <w:t xml:space="preserve"> and teaching approaches would better support the country’s future skills needs?</w:t>
      </w:r>
    </w:p>
    <w:p w:rsidR="00C724E0" w:rsidRPr="00C724E0" w:rsidRDefault="00C724E0" w:rsidP="00C724E0">
      <w:pPr>
        <w:pStyle w:val="ListParagraph"/>
        <w:numPr>
          <w:ilvl w:val="0"/>
          <w:numId w:val="9"/>
        </w:numPr>
        <w:spacing w:after="160" w:line="259" w:lineRule="auto"/>
        <w:rPr>
          <w:rFonts w:ascii="Verdana" w:hAnsi="Verdana"/>
          <w:sz w:val="20"/>
        </w:rPr>
      </w:pPr>
      <w:r w:rsidRPr="00C724E0">
        <w:rPr>
          <w:rFonts w:ascii="Verdana" w:hAnsi="Verdana"/>
          <w:b/>
          <w:sz w:val="20"/>
        </w:rPr>
        <w:t>Continuing to learn with NTU</w:t>
      </w:r>
      <w:r w:rsidRPr="00C724E0">
        <w:rPr>
          <w:rFonts w:ascii="Verdana" w:hAnsi="Verdana"/>
          <w:sz w:val="20"/>
        </w:rPr>
        <w:t>—Do we give students opportunities to continue to learn with us through their careers? What pedagogies would best support the ongoing strategic focus on alumni development?</w:t>
      </w:r>
    </w:p>
    <w:p w:rsidR="00C724E0" w:rsidRPr="005434CF" w:rsidRDefault="00C724E0" w:rsidP="00C724E0">
      <w:pPr>
        <w:rPr>
          <w:szCs w:val="20"/>
        </w:rPr>
      </w:pPr>
      <w:r>
        <w:rPr>
          <w:szCs w:val="20"/>
        </w:rPr>
        <w:t>The deadline for all contributions is</w:t>
      </w:r>
      <w:r>
        <w:rPr>
          <w:b/>
          <w:bCs/>
          <w:szCs w:val="20"/>
        </w:rPr>
        <w:t xml:space="preserve"> 29</w:t>
      </w:r>
      <w:r w:rsidRPr="0037786B">
        <w:rPr>
          <w:b/>
          <w:bCs/>
          <w:szCs w:val="20"/>
          <w:vertAlign w:val="superscript"/>
        </w:rPr>
        <w:t>th</w:t>
      </w:r>
      <w:r>
        <w:rPr>
          <w:b/>
          <w:bCs/>
          <w:szCs w:val="20"/>
        </w:rPr>
        <w:t xml:space="preserve"> April</w:t>
      </w:r>
      <w:r w:rsidR="005701D4" w:rsidRPr="005701D4">
        <w:rPr>
          <w:b/>
          <w:szCs w:val="20"/>
        </w:rPr>
        <w:t xml:space="preserve"> 2019.</w:t>
      </w:r>
    </w:p>
    <w:p w:rsidR="00C724E0" w:rsidRPr="005434CF" w:rsidRDefault="00C724E0" w:rsidP="00C724E0">
      <w:pPr>
        <w:rPr>
          <w:szCs w:val="20"/>
        </w:rPr>
      </w:pPr>
      <w:r w:rsidRPr="005434CF">
        <w:rPr>
          <w:szCs w:val="20"/>
        </w:rPr>
        <w:t xml:space="preserve">If you have any questions about how you can get involved please contact </w:t>
      </w:r>
      <w:r>
        <w:rPr>
          <w:szCs w:val="20"/>
        </w:rPr>
        <w:t xml:space="preserve">the Festival of Learning team at </w:t>
      </w:r>
      <w:hyperlink r:id="rId7" w:history="1"/>
      <w:hyperlink r:id="rId8" w:history="1">
        <w:r>
          <w:rPr>
            <w:color w:val="0000FF"/>
            <w:szCs w:val="20"/>
            <w:u w:val="single"/>
          </w:rPr>
          <w:t>Festival@ntu.ac.uk</w:t>
        </w:r>
      </w:hyperlink>
      <w:r>
        <w:rPr>
          <w:szCs w:val="20"/>
        </w:rPr>
        <w:t>.</w:t>
      </w:r>
    </w:p>
    <w:p w:rsidR="00C724E0" w:rsidRPr="005434CF" w:rsidRDefault="00C724E0" w:rsidP="00C724E0">
      <w:pPr>
        <w:rPr>
          <w:szCs w:val="20"/>
        </w:rPr>
      </w:pPr>
      <w:r w:rsidRPr="005434CF">
        <w:rPr>
          <w:szCs w:val="20"/>
        </w:rPr>
        <w:t xml:space="preserve">We look forward to receiving your contribution to the </w:t>
      </w:r>
      <w:r>
        <w:rPr>
          <w:szCs w:val="20"/>
        </w:rPr>
        <w:t>F</w:t>
      </w:r>
      <w:r w:rsidRPr="005434CF">
        <w:rPr>
          <w:szCs w:val="20"/>
        </w:rPr>
        <w:t>estival!</w:t>
      </w:r>
    </w:p>
    <w:p w:rsidR="00773656" w:rsidRDefault="00773656" w:rsidP="00822C68">
      <w:pPr>
        <w:spacing w:after="0"/>
        <w:ind w:left="2835" w:hanging="2835"/>
        <w:rPr>
          <w:rFonts w:eastAsia="SimSun"/>
          <w:lang w:eastAsia="zh-CN"/>
        </w:rPr>
      </w:pPr>
    </w:p>
    <w:p w:rsidR="00822C68" w:rsidRPr="00473217" w:rsidRDefault="00822C68" w:rsidP="00822C68">
      <w:pPr>
        <w:spacing w:after="0"/>
        <w:ind w:left="2835" w:hanging="2835"/>
        <w:rPr>
          <w:b/>
          <w:szCs w:val="20"/>
        </w:rPr>
      </w:pPr>
      <w:r w:rsidRPr="00473217">
        <w:rPr>
          <w:b/>
          <w:szCs w:val="20"/>
        </w:rPr>
        <w:t>Timeline</w:t>
      </w:r>
    </w:p>
    <w:p w:rsidR="00822C68" w:rsidRPr="00AA4176" w:rsidRDefault="005701D4" w:rsidP="00822C68">
      <w:pPr>
        <w:spacing w:after="0"/>
        <w:ind w:left="2835" w:hanging="2835"/>
        <w:rPr>
          <w:szCs w:val="20"/>
        </w:rPr>
      </w:pPr>
      <w:r>
        <w:rPr>
          <w:szCs w:val="20"/>
        </w:rPr>
        <w:t>29</w:t>
      </w:r>
      <w:r w:rsidR="005F49F5">
        <w:rPr>
          <w:szCs w:val="20"/>
        </w:rPr>
        <w:t xml:space="preserve"> April</w:t>
      </w:r>
      <w:r w:rsidR="008F604B" w:rsidRPr="00AA4176">
        <w:rPr>
          <w:szCs w:val="20"/>
        </w:rPr>
        <w:t xml:space="preserve"> 201</w:t>
      </w:r>
      <w:r w:rsidR="00C724E0">
        <w:rPr>
          <w:szCs w:val="20"/>
        </w:rPr>
        <w:t>9</w:t>
      </w:r>
      <w:r w:rsidR="00822C68" w:rsidRPr="00AA4176">
        <w:rPr>
          <w:szCs w:val="20"/>
        </w:rPr>
        <w:tab/>
        <w:t xml:space="preserve">Proposal submission deadline </w:t>
      </w:r>
    </w:p>
    <w:p w:rsidR="00822C68" w:rsidRPr="00AA4176" w:rsidRDefault="005701D4" w:rsidP="00822C68">
      <w:pPr>
        <w:spacing w:after="0"/>
        <w:ind w:left="2835" w:hanging="2835"/>
        <w:rPr>
          <w:szCs w:val="20"/>
        </w:rPr>
      </w:pPr>
      <w:r>
        <w:rPr>
          <w:szCs w:val="20"/>
        </w:rPr>
        <w:t>May 2019</w:t>
      </w:r>
      <w:r w:rsidR="00822C68" w:rsidRPr="00AA4176">
        <w:rPr>
          <w:szCs w:val="20"/>
        </w:rPr>
        <w:tab/>
        <w:t>Panel and local organisers review submissions</w:t>
      </w:r>
    </w:p>
    <w:p w:rsidR="00822C68" w:rsidRPr="005F49F5" w:rsidRDefault="005701D4" w:rsidP="00822C68">
      <w:pPr>
        <w:spacing w:after="0"/>
        <w:ind w:left="2835" w:hanging="2835"/>
        <w:rPr>
          <w:szCs w:val="20"/>
        </w:rPr>
      </w:pPr>
      <w:r>
        <w:rPr>
          <w:szCs w:val="20"/>
        </w:rPr>
        <w:t>w/c 6 May 2019</w:t>
      </w:r>
      <w:r w:rsidR="00822C68" w:rsidRPr="005F49F5">
        <w:tab/>
        <w:t>S</w:t>
      </w:r>
      <w:r w:rsidR="00822C68" w:rsidRPr="005F49F5">
        <w:rPr>
          <w:szCs w:val="20"/>
        </w:rPr>
        <w:t xml:space="preserve">uccessful contributors notified </w:t>
      </w:r>
    </w:p>
    <w:p w:rsidR="00822C68" w:rsidRDefault="005701D4" w:rsidP="00822C68">
      <w:pPr>
        <w:tabs>
          <w:tab w:val="left" w:pos="2835"/>
        </w:tabs>
        <w:spacing w:after="0"/>
        <w:rPr>
          <w:szCs w:val="20"/>
        </w:rPr>
      </w:pPr>
      <w:r>
        <w:rPr>
          <w:szCs w:val="20"/>
        </w:rPr>
        <w:t>25</w:t>
      </w:r>
      <w:r w:rsidR="008F604B" w:rsidRPr="00AA4176">
        <w:rPr>
          <w:szCs w:val="20"/>
        </w:rPr>
        <w:t xml:space="preserve"> June 201</w:t>
      </w:r>
      <w:r w:rsidR="00C724E0">
        <w:rPr>
          <w:szCs w:val="20"/>
        </w:rPr>
        <w:t>9</w:t>
      </w:r>
      <w:r w:rsidR="00822C68" w:rsidRPr="00AA4176">
        <w:rPr>
          <w:szCs w:val="20"/>
        </w:rPr>
        <w:tab/>
        <w:t>TILT Festival of Learning</w:t>
      </w:r>
    </w:p>
    <w:p w:rsidR="00923782" w:rsidRPr="00923782" w:rsidRDefault="00923782" w:rsidP="00923782">
      <w:pPr>
        <w:ind w:left="2835" w:hanging="2835"/>
      </w:pPr>
      <w:r>
        <w:br w:type="page"/>
      </w:r>
    </w:p>
    <w:p w:rsidR="0059075C" w:rsidRDefault="0059075C" w:rsidP="0059075C">
      <w:pPr>
        <w:pStyle w:val="Heading1"/>
        <w:rPr>
          <w:sz w:val="22"/>
          <w:szCs w:val="22"/>
        </w:rPr>
      </w:pPr>
      <w:r>
        <w:rPr>
          <w:sz w:val="22"/>
          <w:szCs w:val="22"/>
        </w:rPr>
        <w:lastRenderedPageBreak/>
        <w:t>TILT Festival of Learning: Submission proposal form</w:t>
      </w:r>
    </w:p>
    <w:p w:rsidR="00923782" w:rsidRDefault="00923782" w:rsidP="0059075C">
      <w:r>
        <w:t xml:space="preserve">Tuesday </w:t>
      </w:r>
      <w:r w:rsidR="00773656">
        <w:t>2</w:t>
      </w:r>
      <w:r w:rsidR="00C724E0">
        <w:t>5</w:t>
      </w:r>
      <w:r w:rsidR="00773656">
        <w:t xml:space="preserve"> June 201</w:t>
      </w:r>
      <w:r w:rsidR="00C724E0">
        <w:t>9</w:t>
      </w:r>
    </w:p>
    <w:p w:rsidR="00923782" w:rsidRPr="00B65FB2" w:rsidRDefault="00923782" w:rsidP="00923782">
      <w:r w:rsidRPr="00F1637F">
        <w:t xml:space="preserve">Please refer to the </w:t>
      </w:r>
      <w:r w:rsidR="00F1637F" w:rsidRPr="00F1637F">
        <w:t xml:space="preserve">information above </w:t>
      </w:r>
      <w:r w:rsidRPr="00F1637F">
        <w:t>prior to completing this form.</w:t>
      </w:r>
    </w:p>
    <w:p w:rsidR="00923782" w:rsidRPr="00155D4A" w:rsidRDefault="00923782" w:rsidP="00923782">
      <w:pPr>
        <w:pStyle w:val="Heading2"/>
      </w:pPr>
      <w:r>
        <w:t>Presenter(s) details:</w:t>
      </w:r>
    </w:p>
    <w:tbl>
      <w:tblPr>
        <w:tblW w:w="0" w:type="auto"/>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400"/>
        <w:gridCol w:w="5508"/>
      </w:tblGrid>
      <w:tr w:rsidR="00923782" w:rsidRPr="00F61B29" w:rsidTr="00F1637F">
        <w:tc>
          <w:tcPr>
            <w:tcW w:w="3400" w:type="dxa"/>
            <w:shd w:val="clear" w:color="auto" w:fill="C5E0B3"/>
          </w:tcPr>
          <w:p w:rsidR="00923782" w:rsidRPr="00F61B29" w:rsidRDefault="00923782" w:rsidP="00B428B2">
            <w:pPr>
              <w:rPr>
                <w:szCs w:val="20"/>
              </w:rPr>
            </w:pPr>
            <w:r>
              <w:rPr>
                <w:szCs w:val="20"/>
              </w:rPr>
              <w:t>Presenter name</w:t>
            </w:r>
            <w:r w:rsidRPr="00F61B29">
              <w:rPr>
                <w:szCs w:val="20"/>
              </w:rPr>
              <w:t xml:space="preserve">(s) </w:t>
            </w:r>
          </w:p>
        </w:tc>
        <w:tc>
          <w:tcPr>
            <w:tcW w:w="5508" w:type="dxa"/>
            <w:shd w:val="clear" w:color="auto" w:fill="auto"/>
          </w:tcPr>
          <w:p w:rsidR="00923782" w:rsidRDefault="00923782" w:rsidP="00B428B2">
            <w:pPr>
              <w:rPr>
                <w:szCs w:val="20"/>
              </w:rPr>
            </w:pPr>
          </w:p>
          <w:p w:rsidR="00126519" w:rsidRDefault="00126519" w:rsidP="00B428B2">
            <w:pPr>
              <w:rPr>
                <w:szCs w:val="20"/>
              </w:rPr>
            </w:pPr>
          </w:p>
          <w:p w:rsidR="00E3051A" w:rsidRPr="00F61B29" w:rsidRDefault="00E3051A" w:rsidP="00B428B2">
            <w:pPr>
              <w:rPr>
                <w:szCs w:val="20"/>
              </w:rPr>
            </w:pPr>
          </w:p>
        </w:tc>
      </w:tr>
      <w:tr w:rsidR="00923782" w:rsidRPr="00F61B29" w:rsidTr="00F1637F">
        <w:tc>
          <w:tcPr>
            <w:tcW w:w="3400" w:type="dxa"/>
            <w:shd w:val="clear" w:color="auto" w:fill="C5E0B3"/>
          </w:tcPr>
          <w:p w:rsidR="00923782" w:rsidRPr="00F61B29" w:rsidRDefault="00923782" w:rsidP="00B428B2">
            <w:pPr>
              <w:rPr>
                <w:szCs w:val="20"/>
              </w:rPr>
            </w:pPr>
            <w:r w:rsidRPr="00F61B29">
              <w:rPr>
                <w:szCs w:val="20"/>
              </w:rPr>
              <w:t>School / Department / Institution</w:t>
            </w:r>
          </w:p>
        </w:tc>
        <w:tc>
          <w:tcPr>
            <w:tcW w:w="5508" w:type="dxa"/>
            <w:shd w:val="clear" w:color="auto" w:fill="auto"/>
          </w:tcPr>
          <w:p w:rsidR="00923782" w:rsidRDefault="00923782" w:rsidP="00B428B2">
            <w:pPr>
              <w:rPr>
                <w:szCs w:val="20"/>
              </w:rPr>
            </w:pPr>
          </w:p>
          <w:p w:rsidR="00126519" w:rsidRDefault="00126519" w:rsidP="00B428B2">
            <w:pPr>
              <w:rPr>
                <w:szCs w:val="20"/>
              </w:rPr>
            </w:pPr>
          </w:p>
          <w:p w:rsidR="00E3051A" w:rsidRPr="00F61B29" w:rsidRDefault="00E3051A" w:rsidP="00B428B2">
            <w:pPr>
              <w:rPr>
                <w:szCs w:val="20"/>
              </w:rPr>
            </w:pPr>
          </w:p>
        </w:tc>
      </w:tr>
    </w:tbl>
    <w:p w:rsidR="00923782" w:rsidRDefault="00923782" w:rsidP="00923782">
      <w:pPr>
        <w:pStyle w:val="Heading3"/>
      </w:pPr>
      <w:r>
        <w:rPr>
          <w:noProof/>
          <w:lang w:eastAsia="zh-CN"/>
        </w:rPr>
        <w:t>Proposal</w:t>
      </w:r>
      <w:r>
        <w:t xml:space="preserve"> </w:t>
      </w:r>
    </w:p>
    <w:tbl>
      <w:tblPr>
        <w:tblW w:w="0" w:type="auto"/>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8908"/>
      </w:tblGrid>
      <w:tr w:rsidR="00923782" w:rsidRPr="00F61B29" w:rsidTr="00BA709D">
        <w:tc>
          <w:tcPr>
            <w:tcW w:w="9134" w:type="dxa"/>
            <w:shd w:val="clear" w:color="auto" w:fill="C5E0B3"/>
          </w:tcPr>
          <w:p w:rsidR="00923782" w:rsidRPr="00F61B29" w:rsidRDefault="00923782" w:rsidP="00B428B2">
            <w:pPr>
              <w:rPr>
                <w:szCs w:val="20"/>
              </w:rPr>
            </w:pPr>
            <w:r>
              <w:rPr>
                <w:szCs w:val="20"/>
              </w:rPr>
              <w:t>Title of session</w:t>
            </w:r>
          </w:p>
        </w:tc>
      </w:tr>
      <w:tr w:rsidR="00923782" w:rsidRPr="00F61B29" w:rsidTr="00BA709D">
        <w:tc>
          <w:tcPr>
            <w:tcW w:w="9134" w:type="dxa"/>
            <w:shd w:val="clear" w:color="auto" w:fill="auto"/>
          </w:tcPr>
          <w:p w:rsidR="00923782" w:rsidRDefault="00923782" w:rsidP="00B428B2">
            <w:pPr>
              <w:rPr>
                <w:szCs w:val="20"/>
              </w:rPr>
            </w:pPr>
          </w:p>
          <w:p w:rsidR="00743DCD" w:rsidRDefault="00743DCD" w:rsidP="00B428B2">
            <w:pPr>
              <w:rPr>
                <w:szCs w:val="20"/>
              </w:rPr>
            </w:pPr>
          </w:p>
          <w:p w:rsidR="00E3051A" w:rsidRPr="00F61B29" w:rsidRDefault="00E3051A" w:rsidP="00B428B2">
            <w:pPr>
              <w:rPr>
                <w:szCs w:val="20"/>
              </w:rPr>
            </w:pPr>
          </w:p>
        </w:tc>
      </w:tr>
      <w:tr w:rsidR="00923782" w:rsidRPr="00F61B29" w:rsidTr="00BA709D">
        <w:tc>
          <w:tcPr>
            <w:tcW w:w="9134" w:type="dxa"/>
            <w:shd w:val="clear" w:color="auto" w:fill="C5E0B3"/>
          </w:tcPr>
          <w:p w:rsidR="00923782" w:rsidRPr="00266038" w:rsidRDefault="00126519" w:rsidP="00B428B2">
            <w:pPr>
              <w:rPr>
                <w:sz w:val="24"/>
              </w:rPr>
            </w:pPr>
            <w:r>
              <w:rPr>
                <w:szCs w:val="20"/>
              </w:rPr>
              <w:t>Ideal session length. We will try to accommodate where possible, subject to the programme</w:t>
            </w:r>
          </w:p>
        </w:tc>
      </w:tr>
      <w:tr w:rsidR="00923782" w:rsidRPr="00F61B29" w:rsidTr="00BA709D">
        <w:tc>
          <w:tcPr>
            <w:tcW w:w="9134" w:type="dxa"/>
            <w:shd w:val="clear" w:color="auto" w:fill="auto"/>
          </w:tcPr>
          <w:p w:rsidR="00923782" w:rsidRDefault="00923782" w:rsidP="00B428B2">
            <w:pPr>
              <w:rPr>
                <w:szCs w:val="20"/>
              </w:rPr>
            </w:pPr>
          </w:p>
          <w:p w:rsidR="00E3051A" w:rsidRDefault="00E3051A" w:rsidP="00B428B2">
            <w:pPr>
              <w:rPr>
                <w:szCs w:val="20"/>
              </w:rPr>
            </w:pPr>
          </w:p>
          <w:p w:rsidR="00E3051A" w:rsidRPr="00F61B29" w:rsidRDefault="00E3051A" w:rsidP="00126519">
            <w:pPr>
              <w:rPr>
                <w:szCs w:val="20"/>
              </w:rPr>
            </w:pPr>
          </w:p>
        </w:tc>
      </w:tr>
      <w:tr w:rsidR="00923782" w:rsidRPr="00F61B29" w:rsidTr="00BA709D">
        <w:tc>
          <w:tcPr>
            <w:tcW w:w="9134" w:type="dxa"/>
            <w:shd w:val="clear" w:color="auto" w:fill="C5E0B3"/>
          </w:tcPr>
          <w:p w:rsidR="00923782" w:rsidRPr="00F61B29" w:rsidRDefault="00126519" w:rsidP="00B428B2">
            <w:pPr>
              <w:rPr>
                <w:szCs w:val="20"/>
              </w:rPr>
            </w:pPr>
            <w:r>
              <w:rPr>
                <w:szCs w:val="20"/>
              </w:rPr>
              <w:t>Please describe your session format</w:t>
            </w:r>
          </w:p>
        </w:tc>
      </w:tr>
      <w:tr w:rsidR="00923782" w:rsidRPr="00F61B29" w:rsidTr="00BA709D">
        <w:tc>
          <w:tcPr>
            <w:tcW w:w="9134" w:type="dxa"/>
            <w:shd w:val="clear" w:color="auto" w:fill="auto"/>
          </w:tcPr>
          <w:p w:rsidR="00923782" w:rsidRDefault="00923782" w:rsidP="00B428B2">
            <w:pPr>
              <w:rPr>
                <w:szCs w:val="20"/>
              </w:rPr>
            </w:pPr>
          </w:p>
          <w:p w:rsidR="00126519" w:rsidRDefault="00126519" w:rsidP="00B428B2">
            <w:pPr>
              <w:rPr>
                <w:szCs w:val="20"/>
              </w:rPr>
            </w:pPr>
          </w:p>
          <w:p w:rsidR="00E3051A" w:rsidRPr="00F61B29" w:rsidRDefault="00E3051A" w:rsidP="00B428B2">
            <w:pPr>
              <w:rPr>
                <w:szCs w:val="20"/>
              </w:rPr>
            </w:pPr>
          </w:p>
        </w:tc>
      </w:tr>
      <w:tr w:rsidR="00923782" w:rsidRPr="00F61B29" w:rsidTr="00BA709D">
        <w:tc>
          <w:tcPr>
            <w:tcW w:w="9134" w:type="dxa"/>
            <w:shd w:val="clear" w:color="auto" w:fill="C5E0B3"/>
          </w:tcPr>
          <w:p w:rsidR="00923782" w:rsidRPr="00F61B29" w:rsidRDefault="00773656" w:rsidP="00126519">
            <w:pPr>
              <w:rPr>
                <w:szCs w:val="20"/>
              </w:rPr>
            </w:pPr>
            <w:r>
              <w:rPr>
                <w:szCs w:val="20"/>
              </w:rPr>
              <w:t>Wh</w:t>
            </w:r>
            <w:r w:rsidR="00F1637F">
              <w:rPr>
                <w:szCs w:val="20"/>
              </w:rPr>
              <w:t xml:space="preserve">at style of </w:t>
            </w:r>
            <w:r>
              <w:rPr>
                <w:szCs w:val="20"/>
              </w:rPr>
              <w:t>room do you require</w:t>
            </w:r>
            <w:r w:rsidR="00F1637F">
              <w:rPr>
                <w:szCs w:val="20"/>
              </w:rPr>
              <w:t>?</w:t>
            </w:r>
          </w:p>
        </w:tc>
      </w:tr>
      <w:tr w:rsidR="00BA709D" w:rsidRPr="00BA709D" w:rsidTr="00BA709D">
        <w:tc>
          <w:tcPr>
            <w:tcW w:w="9134" w:type="dxa"/>
            <w:shd w:val="clear" w:color="auto" w:fill="FFFFFF" w:themeFill="background1"/>
          </w:tcPr>
          <w:p w:rsidR="00BA709D" w:rsidRDefault="00BA709D" w:rsidP="00BA709D">
            <w:pPr>
              <w:rPr>
                <w:szCs w:val="20"/>
              </w:rPr>
            </w:pPr>
          </w:p>
          <w:p w:rsidR="00E3051A" w:rsidRDefault="00E3051A" w:rsidP="00BA709D">
            <w:pPr>
              <w:rPr>
                <w:szCs w:val="20"/>
              </w:rPr>
            </w:pPr>
          </w:p>
          <w:p w:rsidR="00126519" w:rsidRDefault="00126519" w:rsidP="00BA709D">
            <w:pPr>
              <w:rPr>
                <w:szCs w:val="20"/>
              </w:rPr>
            </w:pPr>
          </w:p>
        </w:tc>
      </w:tr>
      <w:tr w:rsidR="00BA709D" w:rsidRPr="00F61B29" w:rsidTr="00BA709D">
        <w:tc>
          <w:tcPr>
            <w:tcW w:w="9134" w:type="dxa"/>
            <w:shd w:val="clear" w:color="auto" w:fill="C5E0B3"/>
          </w:tcPr>
          <w:p w:rsidR="00822C68" w:rsidRDefault="00126519" w:rsidP="00773656">
            <w:pPr>
              <w:rPr>
                <w:szCs w:val="20"/>
              </w:rPr>
            </w:pPr>
            <w:r>
              <w:rPr>
                <w:szCs w:val="20"/>
              </w:rPr>
              <w:t>Link to the confe</w:t>
            </w:r>
            <w:r w:rsidR="00773656">
              <w:rPr>
                <w:szCs w:val="20"/>
              </w:rPr>
              <w:t>rence theme ‘</w:t>
            </w:r>
            <w:r w:rsidR="005701D4" w:rsidRPr="005701D4">
              <w:rPr>
                <w:szCs w:val="20"/>
              </w:rPr>
              <w:t>Lifelong learning: pedagogies for the future</w:t>
            </w:r>
            <w:r w:rsidR="005701D4">
              <w:rPr>
                <w:szCs w:val="20"/>
              </w:rPr>
              <w:t>’</w:t>
            </w:r>
          </w:p>
        </w:tc>
      </w:tr>
      <w:tr w:rsidR="00923782" w:rsidRPr="00F61B29" w:rsidTr="00BA709D">
        <w:tc>
          <w:tcPr>
            <w:tcW w:w="9134" w:type="dxa"/>
            <w:shd w:val="clear" w:color="auto" w:fill="auto"/>
          </w:tcPr>
          <w:p w:rsidR="00923782" w:rsidRDefault="00923782" w:rsidP="00B428B2">
            <w:pPr>
              <w:rPr>
                <w:szCs w:val="20"/>
              </w:rPr>
            </w:pPr>
          </w:p>
          <w:p w:rsidR="00E3051A" w:rsidRDefault="00E3051A" w:rsidP="00B428B2">
            <w:pPr>
              <w:rPr>
                <w:szCs w:val="20"/>
              </w:rPr>
            </w:pPr>
          </w:p>
          <w:p w:rsidR="00126519" w:rsidRDefault="00126519" w:rsidP="00B428B2">
            <w:pPr>
              <w:rPr>
                <w:szCs w:val="20"/>
              </w:rPr>
            </w:pPr>
          </w:p>
          <w:p w:rsidR="00F1637F" w:rsidRDefault="00F1637F" w:rsidP="00B428B2">
            <w:pPr>
              <w:rPr>
                <w:szCs w:val="20"/>
              </w:rPr>
            </w:pPr>
          </w:p>
          <w:p w:rsidR="00F1637F" w:rsidRDefault="00F1637F" w:rsidP="00B428B2">
            <w:pPr>
              <w:rPr>
                <w:szCs w:val="20"/>
              </w:rPr>
            </w:pPr>
          </w:p>
          <w:p w:rsidR="00943E1A" w:rsidRPr="00F61B29" w:rsidRDefault="00943E1A" w:rsidP="00B428B2">
            <w:pPr>
              <w:rPr>
                <w:szCs w:val="20"/>
              </w:rPr>
            </w:pPr>
          </w:p>
        </w:tc>
      </w:tr>
      <w:tr w:rsidR="00923782" w:rsidRPr="00F61B29" w:rsidTr="00BA709D">
        <w:tc>
          <w:tcPr>
            <w:tcW w:w="9134" w:type="dxa"/>
            <w:shd w:val="clear" w:color="auto" w:fill="C5E0B3"/>
          </w:tcPr>
          <w:p w:rsidR="00923782" w:rsidRPr="00F61B29" w:rsidRDefault="00126519" w:rsidP="00822C68">
            <w:pPr>
              <w:rPr>
                <w:szCs w:val="20"/>
              </w:rPr>
            </w:pPr>
            <w:r w:rsidRPr="00126519">
              <w:rPr>
                <w:szCs w:val="20"/>
              </w:rPr>
              <w:lastRenderedPageBreak/>
              <w:t>Description of session, poster</w:t>
            </w:r>
            <w:r w:rsidR="00F1637F">
              <w:rPr>
                <w:szCs w:val="20"/>
              </w:rPr>
              <w:t xml:space="preserve"> </w:t>
            </w:r>
            <w:r w:rsidRPr="00126519">
              <w:rPr>
                <w:szCs w:val="20"/>
              </w:rPr>
              <w:t>etc. for reviewers/local organisers (500 words maximum, not including references</w:t>
            </w:r>
            <w:r w:rsidR="00F1637F">
              <w:rPr>
                <w:szCs w:val="20"/>
              </w:rPr>
              <w:t>,</w:t>
            </w:r>
            <w:bookmarkStart w:id="0" w:name="_GoBack"/>
            <w:bookmarkEnd w:id="0"/>
            <w:r w:rsidRPr="00126519">
              <w:rPr>
                <w:szCs w:val="20"/>
              </w:rPr>
              <w:t xml:space="preserve"> if used)</w:t>
            </w:r>
          </w:p>
        </w:tc>
      </w:tr>
      <w:tr w:rsidR="00923782" w:rsidRPr="00F61B29" w:rsidTr="00BA709D">
        <w:tc>
          <w:tcPr>
            <w:tcW w:w="9134" w:type="dxa"/>
            <w:shd w:val="clear" w:color="auto" w:fill="auto"/>
          </w:tcPr>
          <w:p w:rsidR="00923782" w:rsidRDefault="00923782" w:rsidP="00B428B2">
            <w:pPr>
              <w:rPr>
                <w:b/>
                <w:szCs w:val="20"/>
              </w:rPr>
            </w:pPr>
          </w:p>
          <w:p w:rsidR="00E3051A" w:rsidRDefault="00E3051A"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97096A" w:rsidRDefault="0097096A"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126519" w:rsidRDefault="00126519" w:rsidP="00B428B2">
            <w:pPr>
              <w:rPr>
                <w:b/>
                <w:szCs w:val="20"/>
              </w:rPr>
            </w:pPr>
          </w:p>
          <w:p w:rsidR="00E3051A" w:rsidRPr="00F61B29" w:rsidRDefault="00E3051A" w:rsidP="00B428B2">
            <w:pPr>
              <w:rPr>
                <w:b/>
                <w:szCs w:val="20"/>
              </w:rPr>
            </w:pPr>
          </w:p>
        </w:tc>
      </w:tr>
      <w:tr w:rsidR="00923782" w:rsidRPr="00F61B29" w:rsidTr="00BA709D">
        <w:tc>
          <w:tcPr>
            <w:tcW w:w="9134" w:type="dxa"/>
            <w:shd w:val="clear" w:color="auto" w:fill="C5E0B3"/>
          </w:tcPr>
          <w:p w:rsidR="00923782" w:rsidRPr="00F61B29" w:rsidRDefault="00923782" w:rsidP="00B428B2">
            <w:pPr>
              <w:rPr>
                <w:szCs w:val="20"/>
              </w:rPr>
            </w:pPr>
            <w:r w:rsidRPr="00F61B29">
              <w:rPr>
                <w:szCs w:val="20"/>
              </w:rPr>
              <w:lastRenderedPageBreak/>
              <w:t>Abstract (50-word summary for programme)</w:t>
            </w:r>
          </w:p>
        </w:tc>
      </w:tr>
      <w:tr w:rsidR="00923782" w:rsidRPr="00F61B29" w:rsidTr="00BA709D">
        <w:tc>
          <w:tcPr>
            <w:tcW w:w="9134" w:type="dxa"/>
            <w:shd w:val="clear" w:color="auto" w:fill="auto"/>
          </w:tcPr>
          <w:p w:rsidR="00923782" w:rsidRDefault="00923782" w:rsidP="00B428B2">
            <w:pPr>
              <w:rPr>
                <w:szCs w:val="20"/>
              </w:rPr>
            </w:pPr>
          </w:p>
          <w:p w:rsidR="00E3051A" w:rsidRDefault="00E3051A" w:rsidP="00B428B2">
            <w:pPr>
              <w:rPr>
                <w:szCs w:val="20"/>
              </w:rPr>
            </w:pPr>
          </w:p>
          <w:p w:rsidR="00E3051A" w:rsidRDefault="00E3051A" w:rsidP="00B428B2">
            <w:pPr>
              <w:rPr>
                <w:szCs w:val="20"/>
              </w:rPr>
            </w:pPr>
          </w:p>
          <w:p w:rsidR="00E3051A" w:rsidRDefault="00E3051A" w:rsidP="00B428B2">
            <w:pPr>
              <w:rPr>
                <w:szCs w:val="20"/>
              </w:rPr>
            </w:pPr>
          </w:p>
          <w:p w:rsidR="00E3051A" w:rsidRDefault="00E3051A" w:rsidP="00B428B2">
            <w:pPr>
              <w:rPr>
                <w:szCs w:val="20"/>
              </w:rPr>
            </w:pPr>
          </w:p>
          <w:p w:rsidR="00E3051A" w:rsidRDefault="00E3051A" w:rsidP="00B428B2">
            <w:pPr>
              <w:rPr>
                <w:szCs w:val="20"/>
              </w:rPr>
            </w:pPr>
          </w:p>
          <w:p w:rsidR="00E3051A" w:rsidRDefault="00E3051A" w:rsidP="00B428B2">
            <w:pPr>
              <w:rPr>
                <w:szCs w:val="20"/>
              </w:rPr>
            </w:pPr>
          </w:p>
          <w:p w:rsidR="00E3051A" w:rsidRPr="00F61B29" w:rsidRDefault="00E3051A" w:rsidP="00B428B2">
            <w:pPr>
              <w:rPr>
                <w:szCs w:val="20"/>
              </w:rPr>
            </w:pPr>
          </w:p>
        </w:tc>
      </w:tr>
      <w:tr w:rsidR="00923782" w:rsidRPr="00F61B29" w:rsidTr="00BA709D">
        <w:tc>
          <w:tcPr>
            <w:tcW w:w="9134" w:type="dxa"/>
            <w:shd w:val="clear" w:color="auto" w:fill="C5E0B3"/>
          </w:tcPr>
          <w:p w:rsidR="00923782" w:rsidRPr="00F61B29" w:rsidRDefault="00923782" w:rsidP="00B428B2">
            <w:pPr>
              <w:rPr>
                <w:szCs w:val="20"/>
              </w:rPr>
            </w:pPr>
            <w:r>
              <w:rPr>
                <w:szCs w:val="20"/>
              </w:rPr>
              <w:t>Biographical details for each speaker (50 words maximum)</w:t>
            </w:r>
          </w:p>
        </w:tc>
      </w:tr>
      <w:tr w:rsidR="00923782" w:rsidRPr="00F61B29" w:rsidTr="00BA709D">
        <w:tc>
          <w:tcPr>
            <w:tcW w:w="9134" w:type="dxa"/>
            <w:shd w:val="clear" w:color="auto" w:fill="auto"/>
          </w:tcPr>
          <w:p w:rsidR="00923782" w:rsidRDefault="00923782" w:rsidP="00B428B2">
            <w:pPr>
              <w:rPr>
                <w:szCs w:val="20"/>
              </w:rPr>
            </w:pPr>
          </w:p>
          <w:p w:rsidR="00E3051A" w:rsidRDefault="00E3051A" w:rsidP="00B428B2">
            <w:pPr>
              <w:rPr>
                <w:szCs w:val="20"/>
              </w:rPr>
            </w:pPr>
          </w:p>
          <w:p w:rsidR="00E3051A" w:rsidRDefault="00E3051A" w:rsidP="00B428B2">
            <w:pPr>
              <w:rPr>
                <w:szCs w:val="20"/>
              </w:rPr>
            </w:pPr>
          </w:p>
          <w:p w:rsidR="00126519" w:rsidRDefault="00126519" w:rsidP="00B428B2">
            <w:pPr>
              <w:rPr>
                <w:szCs w:val="20"/>
              </w:rPr>
            </w:pPr>
          </w:p>
          <w:p w:rsidR="00E3051A" w:rsidRDefault="00E3051A" w:rsidP="00B428B2">
            <w:pPr>
              <w:rPr>
                <w:szCs w:val="20"/>
              </w:rPr>
            </w:pPr>
          </w:p>
          <w:p w:rsidR="00E3051A" w:rsidRDefault="00E3051A" w:rsidP="00B428B2">
            <w:pPr>
              <w:rPr>
                <w:szCs w:val="20"/>
              </w:rPr>
            </w:pPr>
          </w:p>
          <w:p w:rsidR="00E3051A" w:rsidRDefault="00E3051A" w:rsidP="00B428B2">
            <w:pPr>
              <w:rPr>
                <w:szCs w:val="20"/>
              </w:rPr>
            </w:pPr>
          </w:p>
          <w:p w:rsidR="00E3051A" w:rsidRPr="00F61B29" w:rsidRDefault="00E3051A" w:rsidP="00B428B2">
            <w:pPr>
              <w:rPr>
                <w:szCs w:val="20"/>
              </w:rPr>
            </w:pPr>
          </w:p>
        </w:tc>
      </w:tr>
    </w:tbl>
    <w:p w:rsidR="00923782" w:rsidRPr="00EA763D" w:rsidRDefault="00923782" w:rsidP="00923782">
      <w:pPr>
        <w:rPr>
          <w:b/>
          <w:bCs/>
        </w:rPr>
      </w:pPr>
      <w:r>
        <w:rPr>
          <w:b/>
          <w:bCs/>
          <w:sz w:val="21"/>
          <w:szCs w:val="28"/>
        </w:rPr>
        <w:br/>
      </w:r>
      <w:r w:rsidRPr="00EA763D">
        <w:rPr>
          <w:b/>
          <w:bCs/>
        </w:rPr>
        <w:t>Data Protection</w:t>
      </w:r>
    </w:p>
    <w:p w:rsidR="007448F1" w:rsidRDefault="00923782">
      <w:r w:rsidRPr="00412679">
        <w:t xml:space="preserve">All the information you supply on this form will be stored in paper and/or electronic format for the purposes of </w:t>
      </w:r>
      <w:r>
        <w:t xml:space="preserve">conference </w:t>
      </w:r>
      <w:r w:rsidRPr="00412679">
        <w:t xml:space="preserve">administration. Additionally, </w:t>
      </w:r>
      <w:r>
        <w:t xml:space="preserve">speaker biographies and summaries of sessions/posters may be </w:t>
      </w:r>
      <w:r w:rsidRPr="00412679">
        <w:t xml:space="preserve">published in </w:t>
      </w:r>
      <w:r>
        <w:t>delegate packs and</w:t>
      </w:r>
      <w:r w:rsidRPr="00412679">
        <w:t xml:space="preserve"> on </w:t>
      </w:r>
      <w:r>
        <w:t>the Centre for Academic Development and Quality website</w:t>
      </w:r>
      <w:r w:rsidR="00822C68">
        <w:t xml:space="preserve">. </w:t>
      </w:r>
    </w:p>
    <w:sectPr w:rsidR="007448F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782" w:rsidRDefault="00923782" w:rsidP="00923782">
      <w:pPr>
        <w:spacing w:after="0"/>
      </w:pPr>
      <w:r>
        <w:separator/>
      </w:r>
    </w:p>
  </w:endnote>
  <w:endnote w:type="continuationSeparator" w:id="0">
    <w:p w:rsidR="00923782" w:rsidRDefault="00923782" w:rsidP="009237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82" w:rsidRDefault="00923782" w:rsidP="00923782">
    <w:pPr>
      <w:pStyle w:val="Footer"/>
    </w:pPr>
    <w:r w:rsidRPr="00412679">
      <w:rPr>
        <w:sz w:val="16"/>
        <w:szCs w:val="16"/>
      </w:rPr>
      <w:t xml:space="preserve">Centre for Academic </w:t>
    </w:r>
    <w:r>
      <w:rPr>
        <w:sz w:val="16"/>
        <w:szCs w:val="16"/>
      </w:rPr>
      <w:t>Development</w:t>
    </w:r>
    <w:r w:rsidRPr="00412679">
      <w:rPr>
        <w:sz w:val="16"/>
        <w:szCs w:val="16"/>
      </w:rPr>
      <w:t xml:space="preserve"> and Quality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782" w:rsidRDefault="00923782" w:rsidP="00923782">
      <w:pPr>
        <w:spacing w:after="0"/>
      </w:pPr>
      <w:r>
        <w:separator/>
      </w:r>
    </w:p>
  </w:footnote>
  <w:footnote w:type="continuationSeparator" w:id="0">
    <w:p w:rsidR="00923782" w:rsidRDefault="00923782" w:rsidP="009237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82" w:rsidRPr="002E51BB" w:rsidRDefault="00923782" w:rsidP="00081EF4">
    <w:pPr>
      <w:jc w:val="right"/>
      <w:rPr>
        <w:b/>
      </w:rPr>
    </w:pPr>
    <w:r>
      <w:rPr>
        <w:rFonts w:ascii="Times New Roman" w:hAnsi="Times New Roman"/>
        <w:noProof/>
        <w:sz w:val="24"/>
      </w:rPr>
      <w:drawing>
        <wp:anchor distT="36576" distB="36576" distL="36576" distR="36576" simplePos="0" relativeHeight="251659264" behindDoc="0" locked="0" layoutInCell="1" allowOverlap="1" wp14:anchorId="5E6A1D28" wp14:editId="27ED6DF6">
          <wp:simplePos x="0" y="0"/>
          <wp:positionH relativeFrom="column">
            <wp:posOffset>0</wp:posOffset>
          </wp:positionH>
          <wp:positionV relativeFrom="paragraph">
            <wp:posOffset>-49872</wp:posOffset>
          </wp:positionV>
          <wp:extent cx="2133600" cy="591820"/>
          <wp:effectExtent l="0" t="0" r="0" b="0"/>
          <wp:wrapNone/>
          <wp:docPr id="13" name="Picture 13" descr="thumbnail_N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_NTU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rsidR="00C90295">
      <w:rPr>
        <w:rFonts w:ascii="Times New Roman" w:hAnsi="Times New Roman"/>
        <w:noProof/>
        <w:sz w:val="24"/>
      </w:rPr>
      <w:drawing>
        <wp:inline distT="0" distB="0" distL="0" distR="0" wp14:anchorId="6DFDF538" wp14:editId="42B562C6">
          <wp:extent cx="1645920" cy="536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L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4837" cy="539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2F1"/>
    <w:multiLevelType w:val="hybridMultilevel"/>
    <w:tmpl w:val="D8A0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C318E"/>
    <w:multiLevelType w:val="hybridMultilevel"/>
    <w:tmpl w:val="7EEE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53835"/>
    <w:multiLevelType w:val="hybridMultilevel"/>
    <w:tmpl w:val="3222A08A"/>
    <w:lvl w:ilvl="0" w:tplc="08090001">
      <w:start w:val="1"/>
      <w:numFmt w:val="bullet"/>
      <w:lvlText w:val=""/>
      <w:lvlJc w:val="left"/>
      <w:pPr>
        <w:ind w:left="720" w:hanging="360"/>
      </w:pPr>
      <w:rPr>
        <w:rFonts w:ascii="Symbol" w:hAnsi="Symbol" w:hint="default"/>
      </w:rPr>
    </w:lvl>
    <w:lvl w:ilvl="1" w:tplc="D764B88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F7268"/>
    <w:multiLevelType w:val="hybridMultilevel"/>
    <w:tmpl w:val="E4C6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A29E2"/>
    <w:multiLevelType w:val="hybridMultilevel"/>
    <w:tmpl w:val="0C22D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C2C1D"/>
    <w:multiLevelType w:val="hybridMultilevel"/>
    <w:tmpl w:val="1310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175AA"/>
    <w:multiLevelType w:val="hybridMultilevel"/>
    <w:tmpl w:val="99E4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A3506"/>
    <w:multiLevelType w:val="hybridMultilevel"/>
    <w:tmpl w:val="ECA6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7"/>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82"/>
    <w:rsid w:val="00081EF4"/>
    <w:rsid w:val="000D49BD"/>
    <w:rsid w:val="00102323"/>
    <w:rsid w:val="00126519"/>
    <w:rsid w:val="004518D7"/>
    <w:rsid w:val="005434CF"/>
    <w:rsid w:val="005701D4"/>
    <w:rsid w:val="0059075C"/>
    <w:rsid w:val="005D212F"/>
    <w:rsid w:val="005F49F5"/>
    <w:rsid w:val="00647D7B"/>
    <w:rsid w:val="00657667"/>
    <w:rsid w:val="00677B67"/>
    <w:rsid w:val="006832E5"/>
    <w:rsid w:val="00743DCD"/>
    <w:rsid w:val="00773656"/>
    <w:rsid w:val="00822C68"/>
    <w:rsid w:val="008552C0"/>
    <w:rsid w:val="008F604B"/>
    <w:rsid w:val="00923782"/>
    <w:rsid w:val="00943E1A"/>
    <w:rsid w:val="0097096A"/>
    <w:rsid w:val="00A161AA"/>
    <w:rsid w:val="00A90BC6"/>
    <w:rsid w:val="00AA4176"/>
    <w:rsid w:val="00AD35A4"/>
    <w:rsid w:val="00BA709D"/>
    <w:rsid w:val="00C724E0"/>
    <w:rsid w:val="00C90295"/>
    <w:rsid w:val="00DB4893"/>
    <w:rsid w:val="00E3051A"/>
    <w:rsid w:val="00E95219"/>
    <w:rsid w:val="00EE10B0"/>
    <w:rsid w:val="00F163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DB595"/>
  <w15:chartTrackingRefBased/>
  <w15:docId w15:val="{7BBC1AEF-22EB-43B6-8FFE-C06D89E2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82"/>
    <w:pPr>
      <w:spacing w:after="120" w:line="240" w:lineRule="auto"/>
    </w:pPr>
    <w:rPr>
      <w:rFonts w:ascii="Verdana" w:eastAsia="Times New Roman" w:hAnsi="Verdana" w:cs="Times New Roman"/>
      <w:sz w:val="20"/>
      <w:szCs w:val="24"/>
      <w:lang w:eastAsia="en-GB"/>
    </w:rPr>
  </w:style>
  <w:style w:type="paragraph" w:styleId="Heading1">
    <w:name w:val="heading 1"/>
    <w:basedOn w:val="Normal"/>
    <w:next w:val="Normal"/>
    <w:link w:val="Heading1Char"/>
    <w:qFormat/>
    <w:rsid w:val="00923782"/>
    <w:pPr>
      <w:keepNext/>
      <w:pBdr>
        <w:bottom w:val="single" w:sz="4" w:space="1" w:color="auto"/>
      </w:pBdr>
      <w:spacing w:after="60"/>
      <w:outlineLvl w:val="0"/>
    </w:pPr>
    <w:rPr>
      <w:rFonts w:cs="Arial"/>
      <w:b/>
      <w:bCs/>
      <w:kern w:val="32"/>
      <w:szCs w:val="32"/>
    </w:rPr>
  </w:style>
  <w:style w:type="paragraph" w:styleId="Heading2">
    <w:name w:val="heading 2"/>
    <w:basedOn w:val="Heading1"/>
    <w:next w:val="Normal"/>
    <w:link w:val="Heading2Char"/>
    <w:qFormat/>
    <w:rsid w:val="00923782"/>
    <w:pPr>
      <w:pBdr>
        <w:bottom w:val="none" w:sz="0" w:space="0" w:color="auto"/>
      </w:pBdr>
      <w:spacing w:before="360" w:after="240"/>
      <w:outlineLvl w:val="1"/>
    </w:pPr>
    <w:rPr>
      <w:bCs w:val="0"/>
      <w:iCs/>
      <w:sz w:val="22"/>
      <w:szCs w:val="28"/>
    </w:rPr>
  </w:style>
  <w:style w:type="paragraph" w:styleId="Heading3">
    <w:name w:val="heading 3"/>
    <w:basedOn w:val="Normal"/>
    <w:next w:val="Normal"/>
    <w:link w:val="Heading3Char"/>
    <w:qFormat/>
    <w:rsid w:val="00923782"/>
    <w:pPr>
      <w:keepNext/>
      <w:spacing w:before="36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782"/>
    <w:rPr>
      <w:rFonts w:ascii="Verdana" w:eastAsia="Times New Roman" w:hAnsi="Verdana" w:cs="Arial"/>
      <w:b/>
      <w:bCs/>
      <w:kern w:val="32"/>
      <w:sz w:val="20"/>
      <w:szCs w:val="32"/>
      <w:lang w:eastAsia="en-GB"/>
    </w:rPr>
  </w:style>
  <w:style w:type="character" w:customStyle="1" w:styleId="Heading2Char">
    <w:name w:val="Heading 2 Char"/>
    <w:basedOn w:val="DefaultParagraphFont"/>
    <w:link w:val="Heading2"/>
    <w:rsid w:val="00923782"/>
    <w:rPr>
      <w:rFonts w:ascii="Verdana" w:eastAsia="Times New Roman" w:hAnsi="Verdana" w:cs="Arial"/>
      <w:b/>
      <w:iCs/>
      <w:kern w:val="32"/>
      <w:szCs w:val="28"/>
      <w:lang w:eastAsia="en-GB"/>
    </w:rPr>
  </w:style>
  <w:style w:type="character" w:customStyle="1" w:styleId="Heading3Char">
    <w:name w:val="Heading 3 Char"/>
    <w:basedOn w:val="DefaultParagraphFont"/>
    <w:link w:val="Heading3"/>
    <w:rsid w:val="00923782"/>
    <w:rPr>
      <w:rFonts w:ascii="Verdana" w:eastAsia="Times New Roman" w:hAnsi="Verdana" w:cs="Arial"/>
      <w:b/>
      <w:bCs/>
      <w:sz w:val="20"/>
      <w:szCs w:val="26"/>
      <w:lang w:eastAsia="en-GB"/>
    </w:rPr>
  </w:style>
  <w:style w:type="paragraph" w:styleId="Header">
    <w:name w:val="header"/>
    <w:basedOn w:val="Normal"/>
    <w:link w:val="HeaderChar"/>
    <w:uiPriority w:val="99"/>
    <w:unhideWhenUsed/>
    <w:rsid w:val="00923782"/>
    <w:pPr>
      <w:tabs>
        <w:tab w:val="center" w:pos="4513"/>
        <w:tab w:val="right" w:pos="9026"/>
      </w:tabs>
      <w:spacing w:after="0"/>
    </w:pPr>
  </w:style>
  <w:style w:type="character" w:customStyle="1" w:styleId="HeaderChar">
    <w:name w:val="Header Char"/>
    <w:basedOn w:val="DefaultParagraphFont"/>
    <w:link w:val="Header"/>
    <w:uiPriority w:val="99"/>
    <w:rsid w:val="00923782"/>
    <w:rPr>
      <w:rFonts w:ascii="Verdana" w:eastAsia="Times New Roman" w:hAnsi="Verdana" w:cs="Times New Roman"/>
      <w:sz w:val="20"/>
      <w:szCs w:val="24"/>
      <w:lang w:eastAsia="en-GB"/>
    </w:rPr>
  </w:style>
  <w:style w:type="paragraph" w:styleId="Footer">
    <w:name w:val="footer"/>
    <w:basedOn w:val="Normal"/>
    <w:link w:val="FooterChar"/>
    <w:unhideWhenUsed/>
    <w:rsid w:val="00923782"/>
    <w:pPr>
      <w:tabs>
        <w:tab w:val="center" w:pos="4513"/>
        <w:tab w:val="right" w:pos="9026"/>
      </w:tabs>
      <w:spacing w:after="0"/>
    </w:pPr>
  </w:style>
  <w:style w:type="character" w:customStyle="1" w:styleId="FooterChar">
    <w:name w:val="Footer Char"/>
    <w:basedOn w:val="DefaultParagraphFont"/>
    <w:link w:val="Footer"/>
    <w:uiPriority w:val="99"/>
    <w:rsid w:val="00923782"/>
    <w:rPr>
      <w:rFonts w:ascii="Verdana" w:eastAsia="Times New Roman" w:hAnsi="Verdana" w:cs="Times New Roman"/>
      <w:sz w:val="20"/>
      <w:szCs w:val="24"/>
      <w:lang w:eastAsia="en-GB"/>
    </w:rPr>
  </w:style>
  <w:style w:type="character" w:customStyle="1" w:styleId="JaneMcNeil">
    <w:name w:val="Jane McNeil"/>
    <w:semiHidden/>
    <w:rsid w:val="00923782"/>
    <w:rPr>
      <w:rFonts w:ascii="Verdana" w:hAnsi="Verdana"/>
      <w:b w:val="0"/>
      <w:bCs w:val="0"/>
      <w:i w:val="0"/>
      <w:iCs w:val="0"/>
      <w:strike w:val="0"/>
      <w:color w:val="000080"/>
      <w:sz w:val="20"/>
      <w:szCs w:val="20"/>
      <w:u w:val="none"/>
    </w:rPr>
  </w:style>
  <w:style w:type="character" w:styleId="Hyperlink">
    <w:name w:val="Hyperlink"/>
    <w:rsid w:val="00923782"/>
    <w:rPr>
      <w:color w:val="0000FF"/>
      <w:u w:val="single"/>
    </w:rPr>
  </w:style>
  <w:style w:type="paragraph" w:styleId="NoSpacing">
    <w:name w:val="No Spacing"/>
    <w:uiPriority w:val="1"/>
    <w:qFormat/>
    <w:rsid w:val="00923782"/>
    <w:pPr>
      <w:spacing w:after="0" w:line="240" w:lineRule="auto"/>
    </w:pPr>
    <w:rPr>
      <w:rFonts w:ascii="Verdana" w:eastAsia="Times New Roman" w:hAnsi="Verdana" w:cs="Times New Roman"/>
      <w:sz w:val="20"/>
      <w:szCs w:val="24"/>
      <w:lang w:eastAsia="en-GB"/>
    </w:rPr>
  </w:style>
  <w:style w:type="paragraph" w:styleId="PlainText">
    <w:name w:val="Plain Text"/>
    <w:basedOn w:val="Normal"/>
    <w:link w:val="PlainTextChar"/>
    <w:uiPriority w:val="99"/>
    <w:unhideWhenUsed/>
    <w:rsid w:val="0059075C"/>
    <w:pPr>
      <w:spacing w:after="0"/>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59075C"/>
    <w:rPr>
      <w:rFonts w:ascii="Calibri" w:hAnsi="Calibri"/>
      <w:szCs w:val="21"/>
    </w:rPr>
  </w:style>
  <w:style w:type="paragraph" w:styleId="ListParagraph">
    <w:name w:val="List Paragraph"/>
    <w:basedOn w:val="Normal"/>
    <w:uiPriority w:val="34"/>
    <w:qFormat/>
    <w:rsid w:val="00822C68"/>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22C68"/>
    <w:rPr>
      <w:sz w:val="16"/>
      <w:szCs w:val="16"/>
    </w:rPr>
  </w:style>
  <w:style w:type="paragraph" w:styleId="CommentText">
    <w:name w:val="annotation text"/>
    <w:basedOn w:val="Normal"/>
    <w:link w:val="CommentTextChar1"/>
    <w:uiPriority w:val="99"/>
    <w:semiHidden/>
    <w:unhideWhenUsed/>
    <w:rsid w:val="00822C68"/>
    <w:pPr>
      <w:spacing w:after="200"/>
    </w:pPr>
    <w:rPr>
      <w:rFonts w:asciiTheme="minorHAnsi" w:eastAsiaTheme="minorHAnsi" w:hAnsiTheme="minorHAnsi" w:cstheme="minorBidi"/>
      <w:szCs w:val="20"/>
      <w:lang w:eastAsia="en-US"/>
    </w:rPr>
  </w:style>
  <w:style w:type="character" w:customStyle="1" w:styleId="CommentTextChar">
    <w:name w:val="Comment Text Char"/>
    <w:basedOn w:val="DefaultParagraphFont"/>
    <w:uiPriority w:val="99"/>
    <w:semiHidden/>
    <w:rsid w:val="00822C68"/>
    <w:rPr>
      <w:rFonts w:ascii="Verdana" w:eastAsia="Times New Roman" w:hAnsi="Verdana" w:cs="Times New Roman"/>
      <w:sz w:val="20"/>
      <w:szCs w:val="20"/>
      <w:lang w:eastAsia="en-GB"/>
    </w:rPr>
  </w:style>
  <w:style w:type="character" w:customStyle="1" w:styleId="CommentTextChar1">
    <w:name w:val="Comment Text Char1"/>
    <w:basedOn w:val="DefaultParagraphFont"/>
    <w:link w:val="CommentText"/>
    <w:uiPriority w:val="99"/>
    <w:semiHidden/>
    <w:rsid w:val="00822C68"/>
    <w:rPr>
      <w:rFonts w:eastAsiaTheme="minorHAnsi"/>
      <w:sz w:val="20"/>
      <w:szCs w:val="20"/>
      <w:lang w:eastAsia="en-US"/>
    </w:rPr>
  </w:style>
  <w:style w:type="paragraph" w:styleId="BalloonText">
    <w:name w:val="Balloon Text"/>
    <w:basedOn w:val="Normal"/>
    <w:link w:val="BalloonTextChar"/>
    <w:uiPriority w:val="99"/>
    <w:semiHidden/>
    <w:unhideWhenUsed/>
    <w:rsid w:val="00822C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C6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gillam@ntu.ac.uk"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Suffield, Tim</dc:creator>
  <cp:keywords/>
  <dc:description/>
  <cp:lastModifiedBy>Gillam, Catherine</cp:lastModifiedBy>
  <cp:revision>2</cp:revision>
  <dcterms:created xsi:type="dcterms:W3CDTF">2019-03-14T16:08:00Z</dcterms:created>
  <dcterms:modified xsi:type="dcterms:W3CDTF">2019-03-14T16:08:00Z</dcterms:modified>
</cp:coreProperties>
</file>